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74" w:rsidRDefault="00665074" w:rsidP="0048278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82781" w:rsidRDefault="00482781" w:rsidP="00482781">
      <w:pPr>
        <w:jc w:val="center"/>
        <w:rPr>
          <w:rFonts w:ascii="Times New Roman" w:hAnsi="Times New Roman"/>
          <w:sz w:val="24"/>
          <w:szCs w:val="24"/>
        </w:rPr>
      </w:pPr>
      <w:r w:rsidRPr="00CC3D7A">
        <w:rPr>
          <w:rFonts w:ascii="Times New Roman" w:hAnsi="Times New Roman"/>
          <w:b/>
          <w:sz w:val="28"/>
          <w:szCs w:val="28"/>
        </w:rPr>
        <w:t>PODSUMOWANIE</w:t>
      </w:r>
      <w:r w:rsidR="00CC3D7A">
        <w:rPr>
          <w:rFonts w:ascii="Times New Roman" w:hAnsi="Times New Roman"/>
          <w:sz w:val="28"/>
          <w:szCs w:val="28"/>
        </w:rPr>
        <w:br/>
      </w:r>
      <w:r w:rsidR="00CC3D7A">
        <w:rPr>
          <w:rFonts w:ascii="Times New Roman" w:hAnsi="Times New Roman"/>
          <w:sz w:val="24"/>
          <w:szCs w:val="24"/>
        </w:rPr>
        <w:t>Badania ankietowego „Zjawisko przemocy w dobie pandemii”</w:t>
      </w:r>
    </w:p>
    <w:p w:rsidR="008C37FD" w:rsidRDefault="008C37FD" w:rsidP="00482781">
      <w:pPr>
        <w:jc w:val="center"/>
        <w:rPr>
          <w:rFonts w:ascii="Times New Roman" w:hAnsi="Times New Roman"/>
          <w:sz w:val="24"/>
          <w:szCs w:val="24"/>
        </w:rPr>
      </w:pPr>
    </w:p>
    <w:p w:rsidR="007C1D29" w:rsidRPr="008C1BF3" w:rsidRDefault="007C1D29" w:rsidP="008C1B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8C1BF3">
        <w:rPr>
          <w:rFonts w:ascii="Arial" w:hAnsi="Arial" w:cs="Arial"/>
          <w:b/>
          <w:color w:val="000000"/>
          <w:u w:val="single"/>
        </w:rPr>
        <w:t xml:space="preserve">Na pytanie dotyczące tendencji w liczbie zakładanych Niebieskich Kart w gminie </w:t>
      </w:r>
      <w:r w:rsidR="00DA20E7" w:rsidRPr="008C1BF3">
        <w:rPr>
          <w:rFonts w:ascii="Arial" w:hAnsi="Arial" w:cs="Arial"/>
          <w:b/>
          <w:color w:val="000000"/>
          <w:u w:val="single"/>
        </w:rPr>
        <w:br/>
      </w:r>
      <w:r w:rsidRPr="008C1BF3">
        <w:rPr>
          <w:rFonts w:ascii="Arial" w:hAnsi="Arial" w:cs="Arial"/>
          <w:b/>
          <w:color w:val="000000"/>
          <w:u w:val="single"/>
        </w:rPr>
        <w:t>w okresie od 01.03.2020 do 31.05.2020 udzielono następujących odpowiedzi</w:t>
      </w:r>
      <w:r w:rsidR="00DA20E7" w:rsidRPr="008C1BF3">
        <w:rPr>
          <w:rFonts w:ascii="Arial" w:hAnsi="Arial" w:cs="Arial"/>
          <w:b/>
          <w:color w:val="000000"/>
          <w:u w:val="single"/>
        </w:rPr>
        <w:t>:</w:t>
      </w:r>
    </w:p>
    <w:p w:rsidR="00DA20E7" w:rsidRPr="00895B7C" w:rsidRDefault="00DA20E7" w:rsidP="00DA20E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A20E7" w:rsidRDefault="00DA20E7" w:rsidP="00DA20E7">
      <w:pPr>
        <w:spacing w:after="0" w:line="240" w:lineRule="auto"/>
        <w:jc w:val="both"/>
        <w:rPr>
          <w:noProof/>
        </w:rPr>
      </w:pPr>
      <w:r>
        <w:rPr>
          <w:rFonts w:ascii="Arial" w:hAnsi="Arial" w:cs="Arial"/>
          <w:color w:val="000000"/>
        </w:rPr>
        <w:t>Wykres 1.</w:t>
      </w:r>
    </w:p>
    <w:p w:rsidR="00DA20E7" w:rsidRDefault="0037523A" w:rsidP="00DA20E7">
      <w:pPr>
        <w:spacing w:after="0" w:line="240" w:lineRule="auto"/>
        <w:jc w:val="both"/>
      </w:pPr>
      <w:r w:rsidRPr="00280FD1">
        <w:rPr>
          <w:noProof/>
        </w:rPr>
        <w:drawing>
          <wp:inline distT="0" distB="0" distL="0" distR="0">
            <wp:extent cx="5629275" cy="2562225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A20E7">
        <w:br/>
      </w:r>
      <w:r w:rsidR="001E4AFA" w:rsidRPr="001E4AFA">
        <w:t>Źródło: badanie własne.</w:t>
      </w:r>
    </w:p>
    <w:p w:rsidR="00DA20E7" w:rsidRDefault="00DA20E7" w:rsidP="00CC3D7A"/>
    <w:p w:rsidR="00665074" w:rsidRDefault="00DA20E7" w:rsidP="00CC6123">
      <w:pPr>
        <w:jc w:val="both"/>
      </w:pPr>
      <w:r>
        <w:t>Z wykresu wynika, że w 44% badanych gmin liczba zakładanych Niebieskich Kart nie zmieniła się</w:t>
      </w:r>
      <w:r w:rsidR="001E4AFA">
        <w:t xml:space="preserve">, natomiast w 29% przypadków wskazano tendencję spadkową, 26% wykazuje wzrost liczby zakładanych kart. </w:t>
      </w:r>
      <w:r w:rsidR="00665074">
        <w:t>Z badania wynika, że s</w:t>
      </w:r>
      <w:r w:rsidR="001E4AFA">
        <w:t>kala zjawiska przemocy domowej</w:t>
      </w:r>
      <w:r w:rsidR="00665074">
        <w:t xml:space="preserve"> utrzymuje się na tym samym poziomie niezależnie od sytuacji epidemicznej. </w:t>
      </w:r>
    </w:p>
    <w:p w:rsidR="00665074" w:rsidRDefault="00665074" w:rsidP="00CC6123">
      <w:pPr>
        <w:jc w:val="both"/>
      </w:pPr>
    </w:p>
    <w:p w:rsidR="00973AFE" w:rsidRDefault="00973AFE" w:rsidP="00CC6123">
      <w:pPr>
        <w:jc w:val="both"/>
      </w:pPr>
    </w:p>
    <w:p w:rsidR="008C37FD" w:rsidRDefault="008C37FD" w:rsidP="00CC6123">
      <w:pPr>
        <w:jc w:val="both"/>
      </w:pPr>
    </w:p>
    <w:p w:rsidR="008C37FD" w:rsidRDefault="008C37FD" w:rsidP="00CC6123">
      <w:pPr>
        <w:jc w:val="both"/>
      </w:pPr>
    </w:p>
    <w:p w:rsidR="008C37FD" w:rsidRDefault="008C37FD" w:rsidP="00CC6123">
      <w:pPr>
        <w:jc w:val="both"/>
      </w:pPr>
    </w:p>
    <w:p w:rsidR="008C37FD" w:rsidRDefault="008C37FD" w:rsidP="00CC6123">
      <w:pPr>
        <w:jc w:val="both"/>
      </w:pPr>
    </w:p>
    <w:p w:rsidR="0062600D" w:rsidRPr="00DA20E7" w:rsidRDefault="001E4AFA" w:rsidP="00CC3D7A">
      <w:r>
        <w:t xml:space="preserve">   </w:t>
      </w:r>
    </w:p>
    <w:p w:rsidR="00A46A05" w:rsidRDefault="008C1BF3" w:rsidP="008C1B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C</w:t>
      </w:r>
      <w:r w:rsidR="0062600D" w:rsidRPr="0062600D">
        <w:rPr>
          <w:rFonts w:ascii="Arial" w:hAnsi="Arial" w:cs="Arial"/>
          <w:b/>
          <w:color w:val="000000"/>
          <w:u w:val="single"/>
        </w:rPr>
        <w:t>zy działania zespołów interdyscyplinarnych uległy ograniczeniu?</w:t>
      </w:r>
    </w:p>
    <w:p w:rsidR="0062600D" w:rsidRPr="00A46A05" w:rsidRDefault="00A46A05" w:rsidP="00A46A05">
      <w:pPr>
        <w:spacing w:after="0" w:line="240" w:lineRule="auto"/>
        <w:jc w:val="both"/>
      </w:pPr>
      <w:r>
        <w:rPr>
          <w:rFonts w:ascii="Arial" w:hAnsi="Arial" w:cs="Arial"/>
          <w:b/>
          <w:color w:val="000000"/>
          <w:u w:val="single"/>
        </w:rPr>
        <w:br/>
      </w:r>
      <w:r w:rsidRPr="00A46A05">
        <w:rPr>
          <w:rFonts w:ascii="Arial" w:hAnsi="Arial" w:cs="Arial"/>
          <w:color w:val="000000"/>
        </w:rPr>
        <w:t>Wykres 2.</w:t>
      </w:r>
    </w:p>
    <w:p w:rsidR="00CC3D7A" w:rsidRDefault="0037523A" w:rsidP="0062600D">
      <w:r w:rsidRPr="00280FD1">
        <w:rPr>
          <w:noProof/>
        </w:rPr>
        <w:drawing>
          <wp:inline distT="0" distB="0" distL="0" distR="0">
            <wp:extent cx="5372100" cy="2295525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46A05">
        <w:br/>
        <w:t>Źródło: badania własne</w:t>
      </w:r>
    </w:p>
    <w:p w:rsidR="00A46A05" w:rsidRPr="008C1BF3" w:rsidRDefault="00A46A05" w:rsidP="00CC6123">
      <w:pPr>
        <w:jc w:val="both"/>
        <w:rPr>
          <w:b/>
        </w:rPr>
      </w:pPr>
      <w:r>
        <w:t xml:space="preserve">Na pytanie: Czy działania zespołów interdyscyplinarnych uległy ograniczeniu 64% ankietowanych odpowiedziało TAK </w:t>
      </w:r>
      <w:r w:rsidR="00151D24">
        <w:t>– w zestawieniu</w:t>
      </w:r>
      <w:r>
        <w:t xml:space="preserve"> odpowiedź ta łączy się z całkowitym brakiem posiedze</w:t>
      </w:r>
      <w:r w:rsidR="00CC6123">
        <w:t xml:space="preserve">ń, lub </w:t>
      </w:r>
      <w:r w:rsidR="00CC6123" w:rsidRPr="00CC6123">
        <w:t>ograniczenie</w:t>
      </w:r>
      <w:r w:rsidR="00CC6123">
        <w:t>m</w:t>
      </w:r>
      <w:r w:rsidR="00CC6123" w:rsidRPr="00CC6123">
        <w:t xml:space="preserve"> bezpośrednich spotkań na grupach roboczych, brak</w:t>
      </w:r>
      <w:r w:rsidR="00CC6123">
        <w:t>iem</w:t>
      </w:r>
      <w:r w:rsidR="00CC6123" w:rsidRPr="00CC6123">
        <w:t xml:space="preserve"> wizyt w środowisku, przeprowadzan</w:t>
      </w:r>
      <w:r w:rsidR="00CC6123">
        <w:t>iem</w:t>
      </w:r>
      <w:r w:rsidR="00CC6123" w:rsidRPr="00CC6123">
        <w:t xml:space="preserve"> rozm</w:t>
      </w:r>
      <w:r w:rsidR="00CC6123">
        <w:t>ów</w:t>
      </w:r>
      <w:r w:rsidR="00CC6123" w:rsidRPr="00CC6123">
        <w:t xml:space="preserve"> telefoniczn</w:t>
      </w:r>
      <w:r w:rsidR="00CC6123">
        <w:t>ych</w:t>
      </w:r>
      <w:r w:rsidR="00CC6123" w:rsidRPr="00CC6123">
        <w:t xml:space="preserve"> z osobami pokrzywdzonymi i sprawcami przemocy</w:t>
      </w:r>
      <w:r w:rsidR="00CC6123">
        <w:t xml:space="preserve"> (monitorowanie sytuacji w rodzinie)</w:t>
      </w:r>
      <w:r w:rsidR="00CC6123" w:rsidRPr="00CC6123">
        <w:t>, informowan</w:t>
      </w:r>
      <w:r w:rsidR="00CC6123">
        <w:t>iem</w:t>
      </w:r>
      <w:r w:rsidR="00CC6123" w:rsidRPr="00CC6123">
        <w:t xml:space="preserve"> o</w:t>
      </w:r>
      <w:r w:rsidR="00CC6123">
        <w:t xml:space="preserve"> telefonicznym </w:t>
      </w:r>
      <w:r w:rsidR="00CC6123" w:rsidRPr="00CC6123">
        <w:t>wsparciu specjalistów</w:t>
      </w:r>
      <w:r w:rsidR="00CC6123">
        <w:t xml:space="preserve">. Tylko 36% </w:t>
      </w:r>
      <w:r w:rsidR="00CC6123" w:rsidRPr="008C1BF3">
        <w:t xml:space="preserve">zespołów pracowało </w:t>
      </w:r>
      <w:r w:rsidR="00221E83" w:rsidRPr="008C1BF3">
        <w:t>w normalnym trybie</w:t>
      </w:r>
      <w:r w:rsidR="00CC6123" w:rsidRPr="008C1BF3">
        <w:t>.</w:t>
      </w:r>
      <w:r w:rsidR="00CC6123" w:rsidRPr="008C1BF3">
        <w:rPr>
          <w:b/>
        </w:rPr>
        <w:t xml:space="preserve">    </w:t>
      </w:r>
      <w:r w:rsidRPr="008C1BF3">
        <w:rPr>
          <w:b/>
        </w:rPr>
        <w:t xml:space="preserve"> </w:t>
      </w:r>
    </w:p>
    <w:p w:rsidR="00895B7C" w:rsidRPr="00CC6123" w:rsidRDefault="008C1BF3" w:rsidP="0053687B">
      <w:pPr>
        <w:numPr>
          <w:ilvl w:val="0"/>
          <w:numId w:val="9"/>
        </w:numPr>
        <w:spacing w:after="0" w:line="240" w:lineRule="auto"/>
        <w:jc w:val="both"/>
      </w:pPr>
      <w:r w:rsidRPr="008C1BF3">
        <w:rPr>
          <w:rFonts w:ascii="Arial" w:hAnsi="Arial" w:cs="Arial"/>
          <w:b/>
          <w:color w:val="000000"/>
          <w:u w:val="single"/>
        </w:rPr>
        <w:t>N</w:t>
      </w:r>
      <w:r w:rsidR="00895B7C" w:rsidRPr="008C1BF3">
        <w:rPr>
          <w:rFonts w:ascii="Arial" w:hAnsi="Arial" w:cs="Arial"/>
          <w:b/>
          <w:color w:val="000000"/>
          <w:u w:val="single"/>
        </w:rPr>
        <w:t>a jakich zasadach odbywała się praca Grup Roboczych?</w:t>
      </w:r>
      <w:r w:rsidR="00CC6123" w:rsidRPr="008C1BF3">
        <w:rPr>
          <w:rFonts w:ascii="Arial" w:hAnsi="Arial" w:cs="Arial"/>
          <w:b/>
          <w:color w:val="000000"/>
          <w:u w:val="single"/>
        </w:rPr>
        <w:br/>
      </w:r>
      <w:r w:rsidR="00CC6123">
        <w:rPr>
          <w:rFonts w:ascii="Arial" w:hAnsi="Arial" w:cs="Arial"/>
          <w:b/>
          <w:color w:val="000000"/>
          <w:u w:val="single"/>
        </w:rPr>
        <w:br/>
      </w:r>
      <w:r w:rsidR="00CC6123" w:rsidRPr="00CC6123">
        <w:rPr>
          <w:rFonts w:ascii="Arial" w:hAnsi="Arial" w:cs="Arial"/>
          <w:color w:val="000000"/>
        </w:rPr>
        <w:t>Wykres 3.</w:t>
      </w:r>
    </w:p>
    <w:p w:rsidR="00895B7C" w:rsidRDefault="0037523A" w:rsidP="0062600D">
      <w:r w:rsidRPr="0037523A">
        <w:rPr>
          <w:rFonts w:ascii="Arial" w:hAnsi="Arial" w:cs="Arial"/>
          <w:noProof/>
          <w:color w:val="000000"/>
          <w:u w:val="single"/>
        </w:rPr>
        <w:drawing>
          <wp:inline distT="0" distB="0" distL="0" distR="0">
            <wp:extent cx="5495925" cy="2495550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C6123">
        <w:br/>
        <w:t>Źródło: badania własne.</w:t>
      </w:r>
    </w:p>
    <w:p w:rsidR="008633AF" w:rsidRDefault="00151D24" w:rsidP="00C17AD0">
      <w:pPr>
        <w:jc w:val="both"/>
      </w:pPr>
      <w:r>
        <w:t>Źródłem wiedzy</w:t>
      </w:r>
      <w:r w:rsidR="00C17AD0">
        <w:t xml:space="preserve"> na temat realizacji zadań gminy z zakresu przeciwdziałania przemocy w rodzinie </w:t>
      </w:r>
      <w:r w:rsidR="00C17AD0">
        <w:br/>
        <w:t xml:space="preserve">w okresie pandemii są dane </w:t>
      </w:r>
      <w:r w:rsidR="00A72DD3">
        <w:t xml:space="preserve">na temat pracy Grup Roboczych, z których wynika, że 23% respondentów </w:t>
      </w:r>
      <w:r w:rsidR="00A72DD3">
        <w:lastRenderedPageBreak/>
        <w:t xml:space="preserve">deklarowało pracę Grup Roboczych w siedzibie, natomiast pozostali: 46% w formie zdalnej, 15% w innej formie oraz 16% nie pracowało w ogóle. </w:t>
      </w:r>
      <w:r w:rsidR="00C17AD0">
        <w:t xml:space="preserve"> </w:t>
      </w:r>
    </w:p>
    <w:p w:rsidR="00A72DD3" w:rsidRDefault="008C1BF3" w:rsidP="008C1B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</w:t>
      </w:r>
      <w:r w:rsidR="00895B7C" w:rsidRPr="00895B7C">
        <w:rPr>
          <w:rFonts w:ascii="Arial" w:hAnsi="Arial" w:cs="Arial"/>
          <w:b/>
          <w:color w:val="000000"/>
          <w:u w:val="single"/>
        </w:rPr>
        <w:t>zy działały punkty konsultacyjne dla sprawców i ofiar przemocy?</w:t>
      </w:r>
    </w:p>
    <w:p w:rsidR="00895B7C" w:rsidRPr="00A72DD3" w:rsidRDefault="00A72DD3" w:rsidP="00895B7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br/>
      </w:r>
      <w:r w:rsidRPr="00A72DD3">
        <w:rPr>
          <w:rFonts w:ascii="Arial" w:hAnsi="Arial" w:cs="Arial"/>
          <w:color w:val="000000"/>
        </w:rPr>
        <w:t>Wykres 4.</w:t>
      </w:r>
    </w:p>
    <w:p w:rsidR="008633AF" w:rsidRDefault="0037523A" w:rsidP="00895B7C">
      <w:r w:rsidRPr="0037523A">
        <w:rPr>
          <w:rFonts w:ascii="Arial" w:hAnsi="Arial" w:cs="Arial"/>
          <w:noProof/>
          <w:color w:val="000000"/>
          <w:u w:val="single"/>
        </w:rPr>
        <w:drawing>
          <wp:inline distT="0" distB="0" distL="0" distR="0">
            <wp:extent cx="5762625" cy="2428875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72DD3">
        <w:br/>
        <w:t>źródło: badania własne.</w:t>
      </w:r>
    </w:p>
    <w:p w:rsidR="00A72DD3" w:rsidRDefault="00A72DD3" w:rsidP="00895B7C">
      <w:r>
        <w:t xml:space="preserve">W tym zestawieniu widzimy, że </w:t>
      </w:r>
      <w:r w:rsidR="00497959">
        <w:t xml:space="preserve">65% ankietowanych Zespołów Interdyscyplinarnych prowadziło punkt konsultacyjny dla sprawców i ofiar przemocy, </w:t>
      </w:r>
      <w:r w:rsidR="0053687B">
        <w:t xml:space="preserve">ale aż </w:t>
      </w:r>
      <w:r w:rsidR="00497959">
        <w:t>35% nie prowadziło takiego działania.</w:t>
      </w:r>
    </w:p>
    <w:p w:rsidR="00497959" w:rsidRDefault="0053687B" w:rsidP="0053687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</w:t>
      </w:r>
      <w:r w:rsidR="008633AF" w:rsidRPr="008633AF">
        <w:rPr>
          <w:rFonts w:ascii="Arial" w:hAnsi="Arial" w:cs="Arial"/>
          <w:b/>
          <w:color w:val="000000"/>
          <w:u w:val="single"/>
        </w:rPr>
        <w:t xml:space="preserve">zy sytuacja związana z covid-19 wymaga nowych rozwiązań? </w:t>
      </w:r>
    </w:p>
    <w:p w:rsidR="008633AF" w:rsidRPr="00497959" w:rsidRDefault="00497959" w:rsidP="00497959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color w:val="000000"/>
          <w:u w:val="single"/>
        </w:rPr>
        <w:br/>
      </w:r>
      <w:r w:rsidRPr="00497959">
        <w:rPr>
          <w:rFonts w:ascii="Arial" w:hAnsi="Arial" w:cs="Arial"/>
          <w:color w:val="000000"/>
        </w:rPr>
        <w:t>Wykres 5.</w:t>
      </w:r>
    </w:p>
    <w:p w:rsidR="008633AF" w:rsidRDefault="0037523A" w:rsidP="008633AF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280FD1">
        <w:rPr>
          <w:noProof/>
        </w:rPr>
        <w:drawing>
          <wp:inline distT="0" distB="0" distL="0" distR="0">
            <wp:extent cx="5762625" cy="2362200"/>
            <wp:effectExtent l="0" t="0" r="0" b="0"/>
            <wp:docPr id="5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97959">
        <w:rPr>
          <w:rFonts w:ascii="Arial" w:hAnsi="Arial" w:cs="Arial"/>
          <w:b/>
          <w:lang w:eastAsia="en-US"/>
        </w:rPr>
        <w:br/>
      </w:r>
      <w:r w:rsidR="00497959" w:rsidRPr="00497959">
        <w:rPr>
          <w:rFonts w:eastAsia="Times New Roman" w:cs="Calibri"/>
          <w:lang w:eastAsia="en-US"/>
        </w:rPr>
        <w:t>źródło: badania własne.</w:t>
      </w:r>
    </w:p>
    <w:p w:rsidR="008633AF" w:rsidRPr="00973AFE" w:rsidRDefault="00497959" w:rsidP="008633AF">
      <w:pPr>
        <w:spacing w:after="160" w:line="259" w:lineRule="auto"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Według 65% ankietowanych sytuacja związana z Covid-19 wymaga nowych rozwiązań. Wśród  najczęściej powtarzających się rozwiązań podawano:   </w:t>
      </w:r>
    </w:p>
    <w:p w:rsidR="008633AF" w:rsidRPr="00973AFE" w:rsidRDefault="008D24F9" w:rsidP="008D24F9">
      <w:pPr>
        <w:spacing w:after="160" w:line="259" w:lineRule="auto"/>
        <w:ind w:left="720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lastRenderedPageBreak/>
        <w:t xml:space="preserve">▪ </w:t>
      </w:r>
      <w:r w:rsidR="008633AF" w:rsidRPr="00973AFE">
        <w:rPr>
          <w:rFonts w:cs="Arial"/>
          <w:lang w:eastAsia="en-US"/>
        </w:rPr>
        <w:t>stworzenie wyznaczonych miejsc odpowiednio zabezpieczonych, bezpiecznych do kontaktu i pracy z człowiekiem;</w:t>
      </w:r>
    </w:p>
    <w:p w:rsidR="008633AF" w:rsidRPr="00973AFE" w:rsidRDefault="008D24F9" w:rsidP="008D24F9">
      <w:pPr>
        <w:spacing w:after="160" w:line="259" w:lineRule="auto"/>
        <w:ind w:left="720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633AF" w:rsidRPr="00973AFE">
        <w:rPr>
          <w:rFonts w:cs="Arial"/>
          <w:lang w:eastAsia="en-US"/>
        </w:rPr>
        <w:t>wprowadzenie umocowań prawnych,  umożliwiających zdalne  posiedzenia ZI oraz wyposażenie ZI w niezbędny sprzęt umożliwiający zdalny udział w posiedzeniu ZI;</w:t>
      </w:r>
    </w:p>
    <w:p w:rsidR="008633AF" w:rsidRPr="00973AFE" w:rsidRDefault="008D24F9" w:rsidP="008D24F9">
      <w:pPr>
        <w:spacing w:after="160" w:line="259" w:lineRule="auto"/>
        <w:ind w:left="720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633AF" w:rsidRPr="00973AFE">
        <w:rPr>
          <w:rFonts w:cs="Arial"/>
          <w:lang w:eastAsia="en-US"/>
        </w:rPr>
        <w:t>zachodziłaby konieczność tworzenia przez o</w:t>
      </w:r>
      <w:r w:rsidR="0053687B" w:rsidRPr="00973AFE">
        <w:rPr>
          <w:rFonts w:cs="Arial"/>
          <w:lang w:eastAsia="en-US"/>
        </w:rPr>
        <w:t>ps</w:t>
      </w:r>
      <w:r w:rsidR="008633AF" w:rsidRPr="00973AFE">
        <w:rPr>
          <w:rFonts w:cs="Arial"/>
          <w:lang w:eastAsia="en-US"/>
        </w:rPr>
        <w:t xml:space="preserve"> punktów przyjęć dla klientów wyposażonych w sprzęt w związku z </w:t>
      </w:r>
      <w:r w:rsidRPr="00973AFE">
        <w:rPr>
          <w:rFonts w:cs="Arial"/>
          <w:lang w:eastAsia="en-US"/>
        </w:rPr>
        <w:t xml:space="preserve">pandemią </w:t>
      </w:r>
      <w:r w:rsidR="008633AF" w:rsidRPr="00973AFE">
        <w:rPr>
          <w:rFonts w:cs="Arial"/>
          <w:lang w:eastAsia="en-US"/>
        </w:rPr>
        <w:t>(przystosowane stanowiska pracy, lampy sterylizujące) spełniające standardy sanitarne;</w:t>
      </w:r>
    </w:p>
    <w:p w:rsidR="008633AF" w:rsidRPr="00973AFE" w:rsidRDefault="008D24F9" w:rsidP="008D24F9">
      <w:pPr>
        <w:spacing w:after="160" w:line="259" w:lineRule="auto"/>
        <w:ind w:left="720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633AF" w:rsidRPr="00973AFE">
        <w:rPr>
          <w:rFonts w:cs="Arial"/>
          <w:lang w:eastAsia="en-US"/>
        </w:rPr>
        <w:t>uregulowanie postępowania w sytuacjach kryzysowych aktem prawnym w zakresie pracy zespołu interdyscyplinarnego i grup roboczych (reorganizacja pracy grup roboczych w czasie trwania epidemii).</w:t>
      </w:r>
      <w:r w:rsidR="008C72B9" w:rsidRPr="00973AFE">
        <w:rPr>
          <w:rFonts w:cs="Arial"/>
          <w:lang w:eastAsia="en-US"/>
        </w:rPr>
        <w:br/>
      </w:r>
    </w:p>
    <w:p w:rsidR="00277D1A" w:rsidRDefault="0053687B" w:rsidP="0053687B">
      <w:pPr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C</w:t>
      </w:r>
      <w:r w:rsidR="008633AF" w:rsidRPr="008633AF">
        <w:rPr>
          <w:rFonts w:ascii="Arial" w:hAnsi="Arial" w:cs="Arial"/>
          <w:b/>
          <w:u w:val="single"/>
          <w:lang w:eastAsia="en-US"/>
        </w:rPr>
        <w:t>zy w czasie pandemii dostrzegacie państwo niepokojące zmiany społeczne, mogące mieć wpływ na stosowanie przemocy w rodzinie?</w:t>
      </w:r>
    </w:p>
    <w:p w:rsidR="008C72B9" w:rsidRDefault="00277D1A" w:rsidP="008C72B9">
      <w:pPr>
        <w:spacing w:after="160" w:line="259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br/>
      </w:r>
      <w:r w:rsidRPr="00277D1A">
        <w:rPr>
          <w:rFonts w:ascii="Arial" w:hAnsi="Arial" w:cs="Arial"/>
          <w:lang w:eastAsia="en-US"/>
        </w:rPr>
        <w:t>Wykres 6.</w:t>
      </w:r>
      <w:r w:rsidRPr="00277D1A">
        <w:rPr>
          <w:rFonts w:ascii="Arial" w:hAnsi="Arial" w:cs="Arial"/>
          <w:lang w:eastAsia="en-US"/>
        </w:rPr>
        <w:br/>
      </w:r>
      <w:r w:rsidR="0037523A" w:rsidRPr="0037523A">
        <w:rPr>
          <w:rFonts w:ascii="Arial" w:hAnsi="Arial" w:cs="Arial"/>
          <w:noProof/>
          <w:u w:val="single"/>
        </w:rPr>
        <w:drawing>
          <wp:inline distT="0" distB="0" distL="0" distR="0">
            <wp:extent cx="5762625" cy="1971675"/>
            <wp:effectExtent l="0" t="0" r="0" b="0"/>
            <wp:docPr id="6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Arial" w:hAnsi="Arial" w:cs="Arial"/>
          <w:lang w:eastAsia="en-US"/>
        </w:rPr>
        <w:br/>
      </w:r>
      <w:r w:rsidRPr="00277D1A">
        <w:rPr>
          <w:rFonts w:ascii="Arial" w:hAnsi="Arial" w:cs="Arial"/>
          <w:lang w:eastAsia="en-US"/>
        </w:rPr>
        <w:t>źródło: badania własne.</w:t>
      </w:r>
    </w:p>
    <w:p w:rsidR="008633AF" w:rsidRPr="00973AFE" w:rsidRDefault="00277D1A" w:rsidP="006A0A60">
      <w:pPr>
        <w:spacing w:after="160" w:line="259" w:lineRule="auto"/>
        <w:jc w:val="both"/>
        <w:rPr>
          <w:rFonts w:cs="Arial"/>
          <w:b/>
          <w:sz w:val="16"/>
          <w:szCs w:val="16"/>
          <w:u w:val="single"/>
          <w:lang w:eastAsia="en-US"/>
        </w:rPr>
      </w:pPr>
      <w:r w:rsidRPr="00973AFE">
        <w:rPr>
          <w:rFonts w:cs="Arial"/>
          <w:lang w:eastAsia="en-US"/>
        </w:rPr>
        <w:t xml:space="preserve">W kolejnym pytaniu poruszono kwestię niepokojących zmian społecznych, które mogą mieć wpływ na stosowanie przemocy w rodzinie. 51% ankietowanych nie dostrzega zmian, natomiast 49% widzi </w:t>
      </w:r>
      <w:r w:rsidR="006A0A60" w:rsidRPr="00973AFE">
        <w:rPr>
          <w:rFonts w:cs="Arial"/>
          <w:lang w:eastAsia="en-US"/>
        </w:rPr>
        <w:t xml:space="preserve">niepokojące </w:t>
      </w:r>
      <w:r w:rsidRPr="00973AFE">
        <w:rPr>
          <w:rFonts w:cs="Arial"/>
          <w:lang w:eastAsia="en-US"/>
        </w:rPr>
        <w:t>zmiany</w:t>
      </w:r>
      <w:r w:rsidR="006A0A60" w:rsidRPr="00973AFE">
        <w:rPr>
          <w:rFonts w:cs="Arial"/>
          <w:lang w:eastAsia="en-US"/>
        </w:rPr>
        <w:t xml:space="preserve"> i za najważniejsze uznaje: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>izolacja, brak możliwości wyjścia z domu powodowało wzmożone spożywanie alkoholu, co z kolei prowadziło do agresji w rodzinach;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>przymusowa izolacja, może u niektórych osób powodować frustracje, gniew, chęć ciągłego kontrolowania, znudzenia – co z kolei może doprowadzać do konfliktów, agresji;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>sprawca przemocy może odczuwać brak pełnej kontroli społecznej poprzez wyłączny  kontakt telefoniczny, poprzez brak osobistego kontaktu z rodziną - zwiększenie zaniedbań opiekuńczych, zwiększenie spożywania alkoholu;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 xml:space="preserve">izolacja, </w:t>
      </w:r>
      <w:r w:rsidR="008D24F9" w:rsidRPr="00973AFE">
        <w:rPr>
          <w:rFonts w:cs="Arial"/>
        </w:rPr>
        <w:t>z</w:t>
      </w:r>
      <w:r w:rsidR="008633AF" w:rsidRPr="00973AFE">
        <w:rPr>
          <w:rFonts w:cs="Arial"/>
        </w:rPr>
        <w:t>większa liczb</w:t>
      </w:r>
      <w:r w:rsidR="008D24F9" w:rsidRPr="00973AFE">
        <w:rPr>
          <w:rFonts w:cs="Arial"/>
        </w:rPr>
        <w:t>ę</w:t>
      </w:r>
      <w:r w:rsidR="008633AF" w:rsidRPr="00973AFE">
        <w:rPr>
          <w:rFonts w:cs="Arial"/>
        </w:rPr>
        <w:t xml:space="preserve"> obowiązków związan</w:t>
      </w:r>
      <w:r w:rsidR="008D24F9" w:rsidRPr="00973AFE">
        <w:rPr>
          <w:rFonts w:cs="Arial"/>
        </w:rPr>
        <w:t>ych</w:t>
      </w:r>
      <w:r w:rsidR="008633AF" w:rsidRPr="00973AFE">
        <w:rPr>
          <w:rFonts w:cs="Arial"/>
        </w:rPr>
        <w:t xml:space="preserve"> z nauką zdaln</w:t>
      </w:r>
      <w:r w:rsidR="008D24F9" w:rsidRPr="00973AFE">
        <w:rPr>
          <w:rFonts w:cs="Arial"/>
        </w:rPr>
        <w:t>ą</w:t>
      </w:r>
      <w:r w:rsidR="008633AF" w:rsidRPr="00973AFE">
        <w:rPr>
          <w:rFonts w:cs="Arial"/>
        </w:rPr>
        <w:t xml:space="preserve"> dzieci, brak umiejętności zagospodarowania czasu wolnego oraz komunikowania się ze sobą;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 xml:space="preserve">niska odporność psychiczna osób i szybkie wpadanie w stan depresyjny przy najmniejszym napotkanym problemie;                                                   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>pogłębienie uzależnienia osób dorosłych i nieletnich (alkohol, narkotyki, Internet, gry internetowe, hazard itp.) oraz brak umiejętności rozwiązywania problemów;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lastRenderedPageBreak/>
        <w:t xml:space="preserve">▪ </w:t>
      </w:r>
      <w:r w:rsidR="008633AF" w:rsidRPr="00973AFE">
        <w:rPr>
          <w:rFonts w:cs="Arial"/>
        </w:rPr>
        <w:t xml:space="preserve">wzrost spożycia alkoholu, brak umiejętności spędzania czasu z dziećmi, izolowanie się, brak chęci do pomocy sąsiedzkiej, większe poczucie bezkarności; 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>ograniczenie działalności placówek, instytucji oraz kontaktów powoduje wzrost negatywnych emocji, napięcia wśród członków rodzin, trudności w uzyskani</w:t>
      </w:r>
      <w:r w:rsidRPr="00973AFE">
        <w:rPr>
          <w:rFonts w:cs="Arial"/>
        </w:rPr>
        <w:t>u</w:t>
      </w:r>
      <w:r w:rsidR="008633AF" w:rsidRPr="00973AFE">
        <w:rPr>
          <w:rFonts w:cs="Arial"/>
        </w:rPr>
        <w:t xml:space="preserve"> specjalistycznej pomocy</w:t>
      </w:r>
      <w:r w:rsidRPr="00973AFE">
        <w:rPr>
          <w:rFonts w:cs="Arial"/>
        </w:rPr>
        <w:t xml:space="preserve"> - </w:t>
      </w:r>
      <w:r w:rsidR="008633AF" w:rsidRPr="00973AFE">
        <w:rPr>
          <w:rFonts w:cs="Arial"/>
        </w:rPr>
        <w:t>większość osób preferuje kontakt osobisty, rozmowę w „cztery oczy”;</w:t>
      </w:r>
    </w:p>
    <w:p w:rsidR="008633AF" w:rsidRPr="00973AFE" w:rsidRDefault="006A0A60" w:rsidP="006A0A60">
      <w:pPr>
        <w:pStyle w:val="Akapitzlist"/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8633AF" w:rsidRPr="00973AFE">
        <w:rPr>
          <w:rFonts w:cs="Arial"/>
        </w:rPr>
        <w:t xml:space="preserve">brak osobistego kontaktu z " ofiarą, sprawcą", z dziećmi pozostającymi w strukturze rodziny przez przedstawicieli podmiotów biorących udział w procedurze </w:t>
      </w:r>
      <w:r w:rsidR="0053687B" w:rsidRPr="00973AFE">
        <w:rPr>
          <w:rFonts w:cs="Arial"/>
        </w:rPr>
        <w:t>Niebieska Karta</w:t>
      </w:r>
      <w:r w:rsidR="008633AF" w:rsidRPr="00973AFE">
        <w:rPr>
          <w:rFonts w:cs="Arial"/>
        </w:rPr>
        <w:t xml:space="preserve"> uniemożliwia pełną diagnozę problemu przemocy, </w:t>
      </w:r>
      <w:r w:rsidR="008C72B9" w:rsidRPr="00973AFE">
        <w:rPr>
          <w:rFonts w:cs="Arial"/>
        </w:rPr>
        <w:br/>
      </w:r>
    </w:p>
    <w:p w:rsidR="00AA78AA" w:rsidRDefault="0053687B" w:rsidP="0053687B">
      <w:pPr>
        <w:numPr>
          <w:ilvl w:val="0"/>
          <w:numId w:val="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8C72B9" w:rsidRPr="008C72B9">
        <w:rPr>
          <w:rFonts w:ascii="Arial" w:hAnsi="Arial" w:cs="Arial"/>
          <w:b/>
          <w:u w:val="single"/>
        </w:rPr>
        <w:t>zy dostrzegacie państwo inne niepokojące zmiany społeczne w czasie pandemii wymagające wdrożenia nowych rozwiązań?</w:t>
      </w:r>
    </w:p>
    <w:p w:rsidR="008C72B9" w:rsidRDefault="00AA78AA" w:rsidP="00AA78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Pr="00AA78AA">
        <w:rPr>
          <w:rFonts w:ascii="Arial" w:hAnsi="Arial" w:cs="Arial"/>
        </w:rPr>
        <w:t>Wykres 7.</w:t>
      </w:r>
      <w:r>
        <w:rPr>
          <w:rFonts w:ascii="Arial" w:hAnsi="Arial" w:cs="Arial"/>
          <w:b/>
          <w:u w:val="single"/>
        </w:rPr>
        <w:br/>
      </w:r>
      <w:r w:rsidR="0037523A" w:rsidRPr="0037523A">
        <w:rPr>
          <w:rFonts w:ascii="Arial" w:hAnsi="Arial" w:cs="Arial"/>
          <w:noProof/>
          <w:u w:val="single"/>
        </w:rPr>
        <w:drawing>
          <wp:inline distT="0" distB="0" distL="0" distR="0">
            <wp:extent cx="5495925" cy="2562225"/>
            <wp:effectExtent l="0" t="0" r="0" b="0"/>
            <wp:docPr id="7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Arial" w:hAnsi="Arial" w:cs="Arial"/>
        </w:rPr>
        <w:br/>
        <w:t>źródło: badania własne.</w:t>
      </w:r>
    </w:p>
    <w:p w:rsidR="00AA78AA" w:rsidRDefault="00AA78AA" w:rsidP="00AA78AA">
      <w:pPr>
        <w:jc w:val="both"/>
      </w:pPr>
      <w:r>
        <w:rPr>
          <w:rFonts w:ascii="Arial" w:hAnsi="Arial" w:cs="Arial"/>
        </w:rPr>
        <w:t xml:space="preserve">71% badanych nie widzi niepokojących zmian społecznych w czasie pandemii, które wymagałyby wdrożenia nowych rozwiązań, natomiast 29% widzi i za najbardziej niepokojące uznaje: 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C72B9" w:rsidRPr="00973AFE">
        <w:rPr>
          <w:rFonts w:cs="Arial"/>
          <w:lang w:eastAsia="en-US"/>
        </w:rPr>
        <w:t>uzależnienia dzieci od Internetu;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>▪ obawa</w:t>
      </w:r>
      <w:r w:rsidR="008C72B9" w:rsidRPr="00973AFE">
        <w:rPr>
          <w:rFonts w:cs="Arial"/>
          <w:lang w:eastAsia="en-US"/>
        </w:rPr>
        <w:t xml:space="preserve"> przed innymi ludźmi</w:t>
      </w:r>
      <w:r w:rsidRPr="00973AFE">
        <w:rPr>
          <w:rFonts w:cs="Arial"/>
          <w:lang w:eastAsia="en-US"/>
        </w:rPr>
        <w:t xml:space="preserve"> gł</w:t>
      </w:r>
      <w:r w:rsidR="0053687B" w:rsidRPr="00973AFE">
        <w:rPr>
          <w:rFonts w:cs="Arial"/>
          <w:lang w:eastAsia="en-US"/>
        </w:rPr>
        <w:t>ó</w:t>
      </w:r>
      <w:r w:rsidRPr="00973AFE">
        <w:rPr>
          <w:rFonts w:cs="Arial"/>
          <w:lang w:eastAsia="en-US"/>
        </w:rPr>
        <w:t>wnie</w:t>
      </w:r>
      <w:r w:rsidR="008C72B9" w:rsidRPr="00973AFE">
        <w:rPr>
          <w:rFonts w:cs="Arial"/>
          <w:lang w:eastAsia="en-US"/>
        </w:rPr>
        <w:t xml:space="preserve"> spowodowan</w:t>
      </w:r>
      <w:r w:rsidRPr="00973AFE">
        <w:rPr>
          <w:rFonts w:cs="Arial"/>
          <w:lang w:eastAsia="en-US"/>
        </w:rPr>
        <w:t>a</w:t>
      </w:r>
      <w:r w:rsidR="008C72B9" w:rsidRPr="00973AFE">
        <w:rPr>
          <w:rFonts w:cs="Arial"/>
          <w:lang w:eastAsia="en-US"/>
        </w:rPr>
        <w:t xml:space="preserve"> informacjami medialnymi dotyczącymi </w:t>
      </w:r>
      <w:r w:rsidRPr="00973AFE">
        <w:rPr>
          <w:rFonts w:cs="Arial"/>
          <w:lang w:eastAsia="en-US"/>
        </w:rPr>
        <w:t>C</w:t>
      </w:r>
      <w:r w:rsidR="008C72B9" w:rsidRPr="00973AFE">
        <w:rPr>
          <w:rFonts w:cs="Arial"/>
          <w:lang w:eastAsia="en-US"/>
        </w:rPr>
        <w:t xml:space="preserve">ovid -19;    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C72B9" w:rsidRPr="00973AFE">
        <w:rPr>
          <w:rFonts w:cs="Arial"/>
          <w:lang w:eastAsia="en-US"/>
        </w:rPr>
        <w:t xml:space="preserve">wycofanie społeczne i alienacja osób doznających przemocy;                 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C72B9" w:rsidRPr="00973AFE">
        <w:rPr>
          <w:rFonts w:cs="Arial"/>
          <w:lang w:eastAsia="en-US"/>
        </w:rPr>
        <w:t>asystent rodziny zauważył, że brak systematycznych wizyt w domach rodzin objętych pomocą asystenta powoduje regres w postępach tych rodzin;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C72B9" w:rsidRPr="00973AFE">
        <w:rPr>
          <w:rFonts w:cs="Arial"/>
          <w:lang w:eastAsia="en-US"/>
        </w:rPr>
        <w:t>z powodu izolacji jest ograniczona możliwość zauważenia problemu przez osoby postronne np. nauczycieli, pracowników socjalnych, służby medyczne itp.;</w:t>
      </w:r>
    </w:p>
    <w:p w:rsidR="008C72B9" w:rsidRPr="00973AFE" w:rsidRDefault="00ED5DB5" w:rsidP="00ED5DB5">
      <w:pPr>
        <w:spacing w:after="160" w:line="259" w:lineRule="auto"/>
        <w:ind w:left="709"/>
        <w:contextualSpacing/>
        <w:jc w:val="both"/>
        <w:rPr>
          <w:rFonts w:cs="Arial"/>
          <w:lang w:eastAsia="en-US"/>
        </w:rPr>
      </w:pPr>
      <w:r w:rsidRPr="00973AFE">
        <w:rPr>
          <w:rFonts w:cs="Arial"/>
          <w:lang w:eastAsia="en-US"/>
        </w:rPr>
        <w:t xml:space="preserve">▪ </w:t>
      </w:r>
      <w:r w:rsidR="008C72B9" w:rsidRPr="00973AFE">
        <w:rPr>
          <w:rFonts w:cs="Arial"/>
          <w:lang w:eastAsia="en-US"/>
        </w:rPr>
        <w:t>zwiększona ilość konsultacji prawnych, zwiększona liczba pozwów rozwodowych.</w:t>
      </w:r>
    </w:p>
    <w:p w:rsidR="0053687B" w:rsidRDefault="0053687B" w:rsidP="008C72B9">
      <w:pPr>
        <w:rPr>
          <w:b/>
        </w:rPr>
      </w:pPr>
    </w:p>
    <w:p w:rsidR="00ED5DB5" w:rsidRDefault="00C40480" w:rsidP="008C72B9">
      <w:pPr>
        <w:rPr>
          <w:b/>
        </w:rPr>
      </w:pPr>
      <w:r>
        <w:rPr>
          <w:b/>
        </w:rPr>
        <w:lastRenderedPageBreak/>
        <w:t>WNIOSKI</w:t>
      </w:r>
      <w:r w:rsidR="0053687B">
        <w:rPr>
          <w:b/>
        </w:rPr>
        <w:t>:</w:t>
      </w:r>
      <w:r>
        <w:rPr>
          <w:b/>
        </w:rPr>
        <w:t xml:space="preserve"> </w:t>
      </w:r>
    </w:p>
    <w:p w:rsidR="00BD6E81" w:rsidRPr="00973AFE" w:rsidRDefault="00C06363" w:rsidP="00C06363">
      <w:pPr>
        <w:jc w:val="both"/>
        <w:rPr>
          <w:rFonts w:cs="Arial"/>
        </w:rPr>
      </w:pPr>
      <w:r w:rsidRPr="00973AFE">
        <w:rPr>
          <w:rFonts w:cs="Arial"/>
        </w:rPr>
        <w:t xml:space="preserve">         Zasadniczym celem badania była ocena lokalnego systemu przeciwdziałania przemocy </w:t>
      </w:r>
      <w:r w:rsidRPr="00973AFE">
        <w:rPr>
          <w:rFonts w:cs="Arial"/>
        </w:rPr>
        <w:br/>
        <w:t>w rodzinie w czasie trwania pandemii Covid-19.</w:t>
      </w:r>
      <w:r w:rsidR="00E323B4" w:rsidRPr="00973AFE">
        <w:rPr>
          <w:rFonts w:cs="Arial"/>
        </w:rPr>
        <w:t xml:space="preserve"> </w:t>
      </w:r>
      <w:r w:rsidRPr="00973AFE">
        <w:rPr>
          <w:rFonts w:cs="Arial"/>
        </w:rPr>
        <w:t xml:space="preserve">Organizacji działań na szczeblu samorządu gminnego. </w:t>
      </w:r>
      <w:r w:rsidR="00BD6E81" w:rsidRPr="00973AFE">
        <w:rPr>
          <w:rFonts w:cs="Arial"/>
        </w:rPr>
        <w:t xml:space="preserve">Na podstawie przeprowadzonego badania można stwierdzić: </w:t>
      </w:r>
    </w:p>
    <w:p w:rsidR="00C40480" w:rsidRPr="00973AFE" w:rsidRDefault="00BD6E81" w:rsidP="00973AFE">
      <w:pPr>
        <w:jc w:val="both"/>
        <w:rPr>
          <w:rFonts w:cs="Arial"/>
        </w:rPr>
      </w:pPr>
      <w:r w:rsidRPr="00973AFE">
        <w:rPr>
          <w:rFonts w:cs="Arial"/>
        </w:rPr>
        <w:t xml:space="preserve">▪ </w:t>
      </w:r>
      <w:r w:rsidR="00585749" w:rsidRPr="00973AFE">
        <w:rPr>
          <w:rFonts w:cs="Arial"/>
        </w:rPr>
        <w:t>przemoc domowa karmi się izolacją</w:t>
      </w:r>
      <w:r w:rsidR="00C06363" w:rsidRPr="00973AFE">
        <w:rPr>
          <w:rFonts w:cs="Arial"/>
        </w:rPr>
        <w:t>;</w:t>
      </w:r>
      <w:r w:rsidR="00C06363" w:rsidRPr="00973AFE">
        <w:rPr>
          <w:rFonts w:cs="Arial"/>
        </w:rPr>
        <w:br/>
        <w:t xml:space="preserve">▪ </w:t>
      </w:r>
      <w:r w:rsidR="00585749" w:rsidRPr="00973AFE">
        <w:rPr>
          <w:rFonts w:cs="Arial"/>
        </w:rPr>
        <w:t>sytuacja związana z Covid-19 wymaga nowych rozwiązań;</w:t>
      </w:r>
      <w:r w:rsidR="00585749" w:rsidRPr="00973AFE">
        <w:rPr>
          <w:rFonts w:cs="Arial"/>
        </w:rPr>
        <w:br/>
        <w:t>▪ pandemia ma wpływ na stosowanie przemocy w rodzinie, dlatego konieczna jest efektywna współpraca państwa i organizacji pozarządowych;</w:t>
      </w:r>
      <w:r w:rsidR="00585749" w:rsidRPr="00973AFE">
        <w:rPr>
          <w:rFonts w:cs="Arial"/>
        </w:rPr>
        <w:br/>
        <w:t>▪ nie można ignorować losu ofiar;</w:t>
      </w:r>
      <w:r w:rsidR="00585749" w:rsidRPr="00973AFE">
        <w:rPr>
          <w:rFonts w:cs="Arial"/>
        </w:rPr>
        <w:br/>
        <w:t>▪ konieczne są działania przeciwdziałające i pomocowe wobec ofiar przemocy wykraczające poza dotychczasowe praktyki;</w:t>
      </w:r>
      <w:r w:rsidR="00585749" w:rsidRPr="00973AFE">
        <w:rPr>
          <w:rFonts w:cs="Arial"/>
        </w:rPr>
        <w:br/>
        <w:t>▪ chronienie ofiar przemocy w tym ofiar cyberprzemocy powinno być priorytetem;</w:t>
      </w:r>
      <w:r w:rsidR="00585749" w:rsidRPr="00973AFE">
        <w:rPr>
          <w:rFonts w:cs="Arial"/>
        </w:rPr>
        <w:br/>
        <w:t>▪ konieczne są analizy funkcjonowania systemu przeciwdziałania przemocy w rodzinie w okresie pandemii;</w:t>
      </w:r>
      <w:r w:rsidR="00585749" w:rsidRPr="00973AFE">
        <w:rPr>
          <w:rFonts w:cs="Arial"/>
        </w:rPr>
        <w:br/>
        <w:t>▪ konieczne jest umożliwienie szerokiego dostępu</w:t>
      </w:r>
      <w:r w:rsidR="008A2AC0" w:rsidRPr="00973AFE">
        <w:rPr>
          <w:rFonts w:cs="Arial"/>
        </w:rPr>
        <w:t xml:space="preserve"> do informacji (bezpłatne aplikacje) oraz informowanie o możliwościach pomocy z wykorzystaniem różnych kanałów (sms-y, e-maile, portale społecznościowe);</w:t>
      </w:r>
      <w:r w:rsidR="00585749" w:rsidRPr="00973AFE">
        <w:rPr>
          <w:rFonts w:cs="Arial"/>
        </w:rPr>
        <w:t xml:space="preserve"> </w:t>
      </w:r>
      <w:r w:rsidR="008A2AC0" w:rsidRPr="00973AFE">
        <w:rPr>
          <w:rFonts w:cs="Arial"/>
        </w:rPr>
        <w:br/>
        <w:t>▪ stały kontakt telefoniczny lub mailowy z psychologami, prawnikami, pracownikami socjalnymi;</w:t>
      </w:r>
      <w:r w:rsidR="008A2AC0" w:rsidRPr="00973AFE">
        <w:rPr>
          <w:rFonts w:cs="Arial"/>
        </w:rPr>
        <w:br/>
        <w:t>▪ nie można zignorować ryzyka przemocy podczas obecnego kryzysu Covid-19 i nie tylko zachować skuteczność prowadzonych działań, ale rozszerzyć je o nowe rozwiązania;</w:t>
      </w:r>
      <w:r w:rsidR="008A2AC0" w:rsidRPr="00973AFE">
        <w:rPr>
          <w:rFonts w:cs="Arial"/>
        </w:rPr>
        <w:br/>
        <w:t>▪ osoby zagrożone, doświadczające pr</w:t>
      </w:r>
      <w:r w:rsidR="00B21FD7" w:rsidRPr="00973AFE">
        <w:rPr>
          <w:rFonts w:cs="Arial"/>
        </w:rPr>
        <w:t>z</w:t>
      </w:r>
      <w:r w:rsidR="008A2AC0" w:rsidRPr="00973AFE">
        <w:rPr>
          <w:rFonts w:cs="Arial"/>
        </w:rPr>
        <w:t xml:space="preserve">emocy nie mogą być pozbawione czy pozostawione bez niezbędnego wsparcia, dlatego nie należy ustawać w wysiłkach i pracach nad przezwyciężeniem wszelkich objawów bezradności i bezsilności w zwalczaniu zjawiska przemocy w rodzinie; </w:t>
      </w:r>
      <w:r w:rsidR="00B21FD7" w:rsidRPr="00973AFE">
        <w:rPr>
          <w:rFonts w:cs="Arial"/>
        </w:rPr>
        <w:br/>
        <w:t>▪ rząd i samorząd musi ujmować usługi niezbędne do rozwiązania problemu i przemocy i uzależnienia od Internetu w planach reagowania na Covid-19</w:t>
      </w:r>
      <w:r w:rsidR="00A774DE" w:rsidRPr="00973AFE">
        <w:rPr>
          <w:rFonts w:cs="Arial"/>
        </w:rPr>
        <w:t>.</w:t>
      </w:r>
      <w:r w:rsidR="00C40480" w:rsidRPr="00973AFE">
        <w:rPr>
          <w:rFonts w:cs="Arial"/>
        </w:rPr>
        <w:t xml:space="preserve"> </w:t>
      </w:r>
    </w:p>
    <w:p w:rsidR="00973AFE" w:rsidRDefault="00973AFE" w:rsidP="008C72B9">
      <w:pPr>
        <w:rPr>
          <w:rFonts w:ascii="Arial" w:hAnsi="Arial" w:cs="Arial"/>
        </w:rPr>
      </w:pPr>
    </w:p>
    <w:p w:rsidR="00973AFE" w:rsidRPr="00973AFE" w:rsidRDefault="00973AFE" w:rsidP="008C72B9">
      <w:pPr>
        <w:rPr>
          <w:rFonts w:cs="Arial"/>
          <w:b/>
        </w:rPr>
      </w:pPr>
      <w:r w:rsidRPr="00973AFE">
        <w:rPr>
          <w:rFonts w:cs="Arial"/>
          <w:b/>
        </w:rPr>
        <w:t>REKOMENDACJE:</w:t>
      </w:r>
    </w:p>
    <w:p w:rsidR="00973AFE" w:rsidRPr="00973AFE" w:rsidRDefault="00973AFE" w:rsidP="00973AFE">
      <w:pPr>
        <w:numPr>
          <w:ilvl w:val="0"/>
          <w:numId w:val="11"/>
        </w:numPr>
        <w:ind w:left="284" w:hanging="218"/>
        <w:jc w:val="both"/>
        <w:rPr>
          <w:rFonts w:cs="Arial"/>
        </w:rPr>
      </w:pPr>
      <w:r w:rsidRPr="00973AFE">
        <w:rPr>
          <w:rFonts w:cs="Arial"/>
        </w:rPr>
        <w:t>należy umożliwić prowadzenie działań Zespołu Interdyscyplinarnego i Grup Roboczych w bezpośrednim kontakcie z zainteresowanymi - zachowując dystans i inne wymagane obostrzenia;</w:t>
      </w:r>
    </w:p>
    <w:p w:rsidR="00973AFE" w:rsidRPr="00973AFE" w:rsidRDefault="00973AFE" w:rsidP="00973AFE">
      <w:pPr>
        <w:numPr>
          <w:ilvl w:val="0"/>
          <w:numId w:val="11"/>
        </w:numPr>
        <w:ind w:left="284" w:hanging="218"/>
        <w:jc w:val="both"/>
        <w:rPr>
          <w:rFonts w:cs="Arial"/>
        </w:rPr>
      </w:pPr>
      <w:r w:rsidRPr="00973AFE">
        <w:rPr>
          <w:rFonts w:cs="Arial"/>
        </w:rPr>
        <w:t>należy zapewnić ciągłość pracy Grupom Roboczym w bezpośrednim kontakcie z zainteresowanymi;</w:t>
      </w:r>
    </w:p>
    <w:p w:rsidR="00973AFE" w:rsidRPr="00973AFE" w:rsidRDefault="00973AFE" w:rsidP="00973AFE">
      <w:pPr>
        <w:numPr>
          <w:ilvl w:val="0"/>
          <w:numId w:val="11"/>
        </w:numPr>
        <w:ind w:left="284" w:hanging="218"/>
        <w:jc w:val="both"/>
        <w:rPr>
          <w:rFonts w:cs="Arial"/>
        </w:rPr>
      </w:pPr>
      <w:r w:rsidRPr="00973AFE">
        <w:rPr>
          <w:rFonts w:cs="Arial"/>
        </w:rPr>
        <w:t>należy zachować lub umożliwić korzystanie z wszelkich usług społecznych na rzecz przeciwdziałania zjawisku przemocy w rodzinie: interwencje, edukacja i poradnictwo, wsparcie emocjonalne i społeczne, treningi i psychoterapie.</w:t>
      </w:r>
    </w:p>
    <w:sectPr w:rsidR="00973AFE" w:rsidRPr="00973A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D3" w:rsidRDefault="006001D3" w:rsidP="0062600D">
      <w:pPr>
        <w:spacing w:after="0" w:line="240" w:lineRule="auto"/>
      </w:pPr>
      <w:r>
        <w:separator/>
      </w:r>
    </w:p>
  </w:endnote>
  <w:endnote w:type="continuationSeparator" w:id="0">
    <w:p w:rsidR="006001D3" w:rsidRDefault="006001D3" w:rsidP="0062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D3" w:rsidRDefault="006001D3" w:rsidP="0062600D">
      <w:pPr>
        <w:spacing w:after="0" w:line="240" w:lineRule="auto"/>
      </w:pPr>
      <w:r>
        <w:separator/>
      </w:r>
    </w:p>
  </w:footnote>
  <w:footnote w:type="continuationSeparator" w:id="0">
    <w:p w:rsidR="006001D3" w:rsidRDefault="006001D3" w:rsidP="0062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11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E86BF7"/>
    <w:multiLevelType w:val="hybridMultilevel"/>
    <w:tmpl w:val="F530D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107"/>
    <w:multiLevelType w:val="hybridMultilevel"/>
    <w:tmpl w:val="8F54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C6709"/>
    <w:multiLevelType w:val="hybridMultilevel"/>
    <w:tmpl w:val="0250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6908E7"/>
    <w:multiLevelType w:val="hybridMultilevel"/>
    <w:tmpl w:val="55E48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6E1D"/>
    <w:multiLevelType w:val="hybridMultilevel"/>
    <w:tmpl w:val="BA5006BE"/>
    <w:lvl w:ilvl="0" w:tplc="0C50A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260432"/>
    <w:multiLevelType w:val="hybridMultilevel"/>
    <w:tmpl w:val="0F7EAB7E"/>
    <w:lvl w:ilvl="0" w:tplc="0728CEB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6369101B"/>
    <w:multiLevelType w:val="hybridMultilevel"/>
    <w:tmpl w:val="6F1E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D56FED"/>
    <w:multiLevelType w:val="hybridMultilevel"/>
    <w:tmpl w:val="4D22735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22"/>
    <w:rsid w:val="00017722"/>
    <w:rsid w:val="00037D55"/>
    <w:rsid w:val="00091926"/>
    <w:rsid w:val="00151D24"/>
    <w:rsid w:val="001770E0"/>
    <w:rsid w:val="001A6063"/>
    <w:rsid w:val="001E4AFA"/>
    <w:rsid w:val="001F653E"/>
    <w:rsid w:val="00221E83"/>
    <w:rsid w:val="00277D1A"/>
    <w:rsid w:val="00280FD1"/>
    <w:rsid w:val="002E42ED"/>
    <w:rsid w:val="0037523A"/>
    <w:rsid w:val="003C541E"/>
    <w:rsid w:val="00435840"/>
    <w:rsid w:val="0044610E"/>
    <w:rsid w:val="00482781"/>
    <w:rsid w:val="00497959"/>
    <w:rsid w:val="00523AD6"/>
    <w:rsid w:val="0053687B"/>
    <w:rsid w:val="00585749"/>
    <w:rsid w:val="005D1F2C"/>
    <w:rsid w:val="006001D3"/>
    <w:rsid w:val="0062600D"/>
    <w:rsid w:val="00665074"/>
    <w:rsid w:val="00672702"/>
    <w:rsid w:val="006A0A60"/>
    <w:rsid w:val="006F1765"/>
    <w:rsid w:val="00772428"/>
    <w:rsid w:val="007C1D29"/>
    <w:rsid w:val="007E6F38"/>
    <w:rsid w:val="00842A3F"/>
    <w:rsid w:val="008633AF"/>
    <w:rsid w:val="00892C74"/>
    <w:rsid w:val="00895B7C"/>
    <w:rsid w:val="008A2AC0"/>
    <w:rsid w:val="008C1BF3"/>
    <w:rsid w:val="008C37FD"/>
    <w:rsid w:val="008C72B9"/>
    <w:rsid w:val="008D24F9"/>
    <w:rsid w:val="008D428C"/>
    <w:rsid w:val="00965D8B"/>
    <w:rsid w:val="00973AFE"/>
    <w:rsid w:val="00A46A05"/>
    <w:rsid w:val="00A72DD3"/>
    <w:rsid w:val="00A774DE"/>
    <w:rsid w:val="00AA78AA"/>
    <w:rsid w:val="00B17422"/>
    <w:rsid w:val="00B21FD7"/>
    <w:rsid w:val="00BA4502"/>
    <w:rsid w:val="00BD6E81"/>
    <w:rsid w:val="00BE3412"/>
    <w:rsid w:val="00C06363"/>
    <w:rsid w:val="00C17AD0"/>
    <w:rsid w:val="00C40480"/>
    <w:rsid w:val="00C405E1"/>
    <w:rsid w:val="00CC3D7A"/>
    <w:rsid w:val="00CC6123"/>
    <w:rsid w:val="00DA20E7"/>
    <w:rsid w:val="00E323B4"/>
    <w:rsid w:val="00E44A33"/>
    <w:rsid w:val="00ED5DB5"/>
    <w:rsid w:val="00EF7DFE"/>
    <w:rsid w:val="00F11372"/>
    <w:rsid w:val="00F5003F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5BF207-B273-4BE2-8C1D-038A5B8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3D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600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2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600D"/>
    <w:rPr>
      <w:rFonts w:cs="Times New Roman"/>
    </w:rPr>
  </w:style>
  <w:style w:type="paragraph" w:styleId="Akapitzlist">
    <w:name w:val="List Paragraph"/>
    <w:basedOn w:val="Normalny"/>
    <w:uiPriority w:val="34"/>
    <w:qFormat/>
    <w:rsid w:val="008633AF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EEFF-4E2F-836E-0620B79F45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FF-4E2F-836E-0620B79F45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EFF-4E2F-836E-0620B79F45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FF-4E2F-836E-0620B79F45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EFF-4E2F-836E-0620B79F45B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FF-4E2F-836E-0620B79F45B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EFF-4E2F-836E-0620B79F45B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86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00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wysoki wzrost (ponad 50%)</c:v>
                </c:pt>
                <c:pt idx="1">
                  <c:v>umiarkowany wzrost ( od 25% do 50%)</c:v>
                </c:pt>
                <c:pt idx="2">
                  <c:v>niski wzrost (poniżej 25%)</c:v>
                </c:pt>
                <c:pt idx="3">
                  <c:v>bez zmiany</c:v>
                </c:pt>
                <c:pt idx="4">
                  <c:v>niski spadek (poniżej 25%)</c:v>
                </c:pt>
                <c:pt idx="5">
                  <c:v>umiarkowany spadek ( od 25% do 50%)</c:v>
                </c:pt>
                <c:pt idx="6">
                  <c:v>wysoki spadek (ponad 50%)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33</c:v>
                </c:pt>
                <c:pt idx="4">
                  <c:v>8</c:v>
                </c:pt>
                <c:pt idx="5">
                  <c:v>9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EFF-4E2F-836E-0620B79F4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0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8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00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DAE6-4C02-8B28-2F5CBD18F5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AE6-4C02-8B28-2F5CBD18F5B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2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4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47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6-4C02-8B28-2F5CBD18F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8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2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49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D193-48B1-94A1-A0D900B81B3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93-48B1-94A1-A0D900B81B3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D193-48B1-94A1-A0D900B81B3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93-48B1-94A1-A0D900B81B3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2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5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w siedzibie</c:v>
                </c:pt>
                <c:pt idx="1">
                  <c:v>zdalnie</c:v>
                </c:pt>
                <c:pt idx="2">
                  <c:v>w innej formie</c:v>
                </c:pt>
                <c:pt idx="3">
                  <c:v>nie odbywały się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24</c:v>
                </c:pt>
                <c:pt idx="1">
                  <c:v>47</c:v>
                </c:pt>
                <c:pt idx="2">
                  <c:v>15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93-48B1-94A1-A0D900B81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5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2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5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9518-4470-BE47-AFDD0C65383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18-4470-BE47-AFDD0C65383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7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48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18-4470-BE47-AFDD0C6538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6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7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8A70-46F1-8007-99322258E24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70-46F1-8007-99322258E24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43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48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70-46F1-8007-99322258E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5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2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4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996E-4ADB-BD2F-BD6E881244C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96E-4ADB-BD2F-BD6E881244C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5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7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37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6E-4ADB-BD2F-BD6E88124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6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7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0F78-433E-8C4B-E1B314E6CC5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78-433E-8C4B-E1B314E6CC5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3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22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78-433E-8C4B-E1B314E6C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5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39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Igielski</dc:creator>
  <cp:keywords/>
  <dc:description/>
  <cp:lastModifiedBy>Iza Werkowska</cp:lastModifiedBy>
  <cp:revision>2</cp:revision>
  <cp:lastPrinted>2020-06-29T11:05:00Z</cp:lastPrinted>
  <dcterms:created xsi:type="dcterms:W3CDTF">2020-08-06T12:40:00Z</dcterms:created>
  <dcterms:modified xsi:type="dcterms:W3CDTF">2020-08-06T12:40:00Z</dcterms:modified>
</cp:coreProperties>
</file>