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DEB" w:rsidRPr="00416522" w:rsidRDefault="00080DEB" w:rsidP="00080DEB">
      <w:pPr>
        <w:ind w:left="2832" w:firstLine="708"/>
        <w:rPr>
          <w:b/>
        </w:rPr>
      </w:pPr>
      <w:r>
        <w:rPr>
          <w:b/>
        </w:rPr>
        <w:t>STANOWISKO</w:t>
      </w:r>
      <w:r>
        <w:rPr>
          <w:b/>
        </w:rPr>
        <w:tab/>
      </w:r>
    </w:p>
    <w:p w:rsidR="00080DEB" w:rsidRPr="00416522" w:rsidRDefault="00080DEB" w:rsidP="00080DEB">
      <w:pPr>
        <w:jc w:val="center"/>
        <w:rPr>
          <w:b/>
        </w:rPr>
      </w:pPr>
      <w:r w:rsidRPr="00416522">
        <w:rPr>
          <w:b/>
        </w:rPr>
        <w:t>KONWENTU MARSZAŁKÓW WOJEWÓDZTW RP</w:t>
      </w:r>
      <w:r>
        <w:rPr>
          <w:b/>
        </w:rPr>
        <w:t xml:space="preserve"> </w:t>
      </w:r>
      <w:r w:rsidRPr="00416522">
        <w:rPr>
          <w:b/>
        </w:rPr>
        <w:t xml:space="preserve">z dnia </w:t>
      </w:r>
      <w:r>
        <w:rPr>
          <w:b/>
        </w:rPr>
        <w:t xml:space="preserve">28 listopada                          </w:t>
      </w:r>
      <w:r>
        <w:rPr>
          <w:b/>
        </w:rPr>
        <w:t>2019</w:t>
      </w:r>
      <w:r w:rsidRPr="00416522">
        <w:rPr>
          <w:b/>
        </w:rPr>
        <w:t xml:space="preserve"> roku</w:t>
      </w:r>
    </w:p>
    <w:p w:rsidR="00080DEB" w:rsidRPr="00416522" w:rsidRDefault="00080DEB" w:rsidP="00080DEB">
      <w:pPr>
        <w:rPr>
          <w:b/>
        </w:rPr>
      </w:pPr>
      <w:r>
        <w:rPr>
          <w:b/>
        </w:rPr>
        <w:t>w sprawie zmiany ustawy z dnia 24 kwietnia 2003 r.</w:t>
      </w:r>
      <w:r w:rsidRPr="00416522">
        <w:rPr>
          <w:b/>
        </w:rPr>
        <w:t xml:space="preserve"> o działalności pożytku publicznego </w:t>
      </w:r>
      <w:r>
        <w:rPr>
          <w:b/>
        </w:rPr>
        <w:br/>
      </w:r>
      <w:r w:rsidRPr="00416522">
        <w:rPr>
          <w:b/>
        </w:rPr>
        <w:t>i o wolontariacie</w:t>
      </w:r>
      <w:r>
        <w:rPr>
          <w:b/>
        </w:rPr>
        <w:t xml:space="preserve"> (opracowane przez woj. warmińsko-mazurskie)</w:t>
      </w:r>
    </w:p>
    <w:p w:rsidR="00080DEB" w:rsidRPr="00080DEB" w:rsidRDefault="00080DEB" w:rsidP="00080DEB">
      <w:pPr>
        <w:tabs>
          <w:tab w:val="left" w:pos="709"/>
        </w:tabs>
        <w:jc w:val="both"/>
        <w:rPr>
          <w:rFonts w:ascii="Arial" w:hAnsi="Arial" w:cs="Arial"/>
        </w:rPr>
      </w:pPr>
      <w:r w:rsidRPr="00080DEB">
        <w:rPr>
          <w:rFonts w:ascii="Arial" w:hAnsi="Arial" w:cs="Arial"/>
        </w:rPr>
        <w:tab/>
      </w:r>
    </w:p>
    <w:p w:rsidR="00080DEB" w:rsidRPr="00080DEB" w:rsidRDefault="00080DEB" w:rsidP="00080DEB">
      <w:pPr>
        <w:tabs>
          <w:tab w:val="left" w:pos="709"/>
        </w:tabs>
        <w:jc w:val="both"/>
        <w:rPr>
          <w:rFonts w:ascii="Arial" w:hAnsi="Arial" w:cs="Arial"/>
        </w:rPr>
      </w:pPr>
      <w:r w:rsidRPr="00080DEB">
        <w:rPr>
          <w:rFonts w:ascii="Arial" w:hAnsi="Arial" w:cs="Arial"/>
        </w:rPr>
        <w:t xml:space="preserve">Podstawowym aktem prawnym regulującym współpracę samorządów </w:t>
      </w:r>
      <w:r>
        <w:rPr>
          <w:rFonts w:ascii="Arial" w:hAnsi="Arial" w:cs="Arial"/>
        </w:rPr>
        <w:br/>
      </w:r>
      <w:r w:rsidRPr="00080DEB">
        <w:rPr>
          <w:rFonts w:ascii="Arial" w:hAnsi="Arial" w:cs="Arial"/>
        </w:rPr>
        <w:t xml:space="preserve">z organizacjami pozarządowymi oraz podmiotami wymienionymi w art. 3 ust. 3 ustawy o działalności pożytku publicznego i o wolontariacie (podmioty zwane w dalszej treści dokumentu łącznie „organizacjami pozarządowymi”) jest ustawa z dnia 24 kwietnia 2003 r. </w:t>
      </w:r>
      <w:r w:rsidRPr="00080DEB">
        <w:rPr>
          <w:rFonts w:ascii="Arial" w:hAnsi="Arial" w:cs="Arial"/>
          <w:i/>
        </w:rPr>
        <w:t>o działalności pożytku publicznego i o wolontariacie</w:t>
      </w:r>
      <w:r w:rsidRPr="00080DEB">
        <w:rPr>
          <w:rFonts w:ascii="Arial" w:hAnsi="Arial" w:cs="Arial"/>
        </w:rPr>
        <w:t xml:space="preserve">. Ponad 15 lat jej funkcjonowania pozwoliły na zgromadzenie licznych doświadczeń samorządów każdego szczebla oraz organizacji pozarządowych, które powinny stać się podstawą szerokiej debaty publicznej - w kierunku wprowadzenia zmian prawnych wychodzących naprzeciw oczekiwaniom partnerów zarówno sektora publicznego, jak i pozarządowego. Ponad 15 lat to również znacząca zmiana rzeczywistości, chociażby wyjątkowe możliwości i doświadczenia realizacji zadań publicznych </w:t>
      </w:r>
      <w:r>
        <w:rPr>
          <w:rFonts w:ascii="Arial" w:hAnsi="Arial" w:cs="Arial"/>
        </w:rPr>
        <w:br/>
      </w:r>
      <w:r w:rsidRPr="00080DEB">
        <w:rPr>
          <w:rFonts w:ascii="Arial" w:hAnsi="Arial" w:cs="Arial"/>
        </w:rPr>
        <w:t xml:space="preserve">z wykorzystaniem środków Unii Europejskiej, w którym to procesie aktywnie biorą udział organizacje pozarządowe. </w:t>
      </w:r>
    </w:p>
    <w:p w:rsidR="00080DEB" w:rsidRPr="00080DEB" w:rsidRDefault="00080DEB" w:rsidP="00080DEB">
      <w:pPr>
        <w:tabs>
          <w:tab w:val="left" w:pos="709"/>
        </w:tabs>
        <w:jc w:val="both"/>
        <w:rPr>
          <w:rFonts w:ascii="Arial" w:hAnsi="Arial" w:cs="Arial"/>
        </w:rPr>
      </w:pPr>
      <w:r w:rsidRPr="00080DEB">
        <w:rPr>
          <w:rFonts w:ascii="Arial" w:hAnsi="Arial" w:cs="Arial"/>
        </w:rPr>
        <w:tab/>
        <w:t xml:space="preserve">Wprowadzane, w okresie ponad 15-letniego funkcjonowania, zmiany ustawy </w:t>
      </w:r>
      <w:r w:rsidRPr="00080DEB">
        <w:rPr>
          <w:rFonts w:ascii="Arial" w:hAnsi="Arial" w:cs="Arial"/>
        </w:rPr>
        <w:br/>
        <w:t>o działalności pożytku publicznego i o wolontariacie, znacząco nie zmieniły zakresu</w:t>
      </w:r>
      <w:r>
        <w:rPr>
          <w:rFonts w:ascii="Arial" w:hAnsi="Arial" w:cs="Arial"/>
        </w:rPr>
        <w:br/>
      </w:r>
      <w:r w:rsidRPr="00080DEB">
        <w:rPr>
          <w:rFonts w:ascii="Arial" w:hAnsi="Arial" w:cs="Arial"/>
        </w:rPr>
        <w:t xml:space="preserve"> i form współpracy samorządów z organizacjami pozarządowymi. Nie zmieniły również filozofii tej współpracy. </w:t>
      </w:r>
    </w:p>
    <w:p w:rsidR="00080DEB" w:rsidRPr="00080DEB" w:rsidRDefault="00080DEB" w:rsidP="00080DEB">
      <w:pPr>
        <w:tabs>
          <w:tab w:val="left" w:pos="709"/>
        </w:tabs>
        <w:jc w:val="both"/>
        <w:rPr>
          <w:rFonts w:ascii="Arial" w:hAnsi="Arial" w:cs="Arial"/>
        </w:rPr>
      </w:pPr>
      <w:r w:rsidRPr="00080DEB">
        <w:rPr>
          <w:rFonts w:ascii="Arial" w:hAnsi="Arial" w:cs="Arial"/>
        </w:rPr>
        <w:tab/>
        <w:t xml:space="preserve">Jednak doświadczenia wskazują, że samorządy powinny być przede wszystkim partnerami organizacji pozarządowych w realizacji zadań publicznych, </w:t>
      </w:r>
      <w:r>
        <w:rPr>
          <w:rFonts w:ascii="Arial" w:hAnsi="Arial" w:cs="Arial"/>
        </w:rPr>
        <w:br/>
      </w:r>
      <w:r w:rsidRPr="00080DEB">
        <w:rPr>
          <w:rFonts w:ascii="Arial" w:hAnsi="Arial" w:cs="Arial"/>
        </w:rPr>
        <w:t>a nie głównie zleceniodawcami zadań. Rola administracji publicznej powinna zmieniać się w kierunku szerokiego zastosowania partnerstwa publiczno-społecznego. Konieczne są więc zmiany dot. uelastycznienia trybów zlecania zadań publicznych, ich uproszczenia, wprowadzenia nowych trybów (np. negocjacji przy wyborze oferty) a także zastosowania wspólnej realizacji zadań, co wymaga konieczności wypracowania zasad realizacji zadań publicznych w trybie partnerstwa publiczno-społecznego.</w:t>
      </w:r>
    </w:p>
    <w:p w:rsidR="00080DEB" w:rsidRPr="00080DEB" w:rsidRDefault="00080DEB" w:rsidP="00080DEB">
      <w:pPr>
        <w:tabs>
          <w:tab w:val="left" w:pos="709"/>
        </w:tabs>
        <w:jc w:val="both"/>
        <w:rPr>
          <w:rFonts w:ascii="Arial" w:hAnsi="Arial" w:cs="Arial"/>
        </w:rPr>
      </w:pPr>
      <w:r w:rsidRPr="00080DEB">
        <w:rPr>
          <w:rFonts w:ascii="Arial" w:hAnsi="Arial" w:cs="Arial"/>
        </w:rPr>
        <w:tab/>
        <w:t xml:space="preserve">Organizacje pozarządowe od lat wnioskują o uproszczenie procedur składnia ofert na realizację zadań publicznych, a następnie sprawozdań z wykonanych zadań wraz z zastosowaniem sprawozdań w formie rozliczenia z osiągniętych rezultatów. Postulowane jest również upowszechnienie ryczałtowego rozliczania poniesionych </w:t>
      </w:r>
      <w:r>
        <w:rPr>
          <w:rFonts w:ascii="Arial" w:hAnsi="Arial" w:cs="Arial"/>
        </w:rPr>
        <w:br/>
      </w:r>
      <w:r w:rsidRPr="00080DEB">
        <w:rPr>
          <w:rFonts w:ascii="Arial" w:hAnsi="Arial" w:cs="Arial"/>
        </w:rPr>
        <w:t xml:space="preserve">w ramach zadania publicznego kosztów (aktualnie dotyczy to jednie projektów dofinansowanych z funduszy strukturalnych UE). Należy przy tym podkreślić, </w:t>
      </w:r>
      <w:r>
        <w:rPr>
          <w:rFonts w:ascii="Arial" w:hAnsi="Arial" w:cs="Arial"/>
        </w:rPr>
        <w:br/>
      </w:r>
      <w:r w:rsidRPr="00080DEB">
        <w:rPr>
          <w:rFonts w:ascii="Arial" w:hAnsi="Arial" w:cs="Arial"/>
        </w:rPr>
        <w:t xml:space="preserve">że sama zmiana rozporządzenia </w:t>
      </w:r>
      <w:r w:rsidRPr="00080DEB">
        <w:rPr>
          <w:rFonts w:ascii="Arial" w:hAnsi="Arial" w:cs="Arial"/>
          <w:i/>
        </w:rPr>
        <w:t>w sprawie wzorów ofert, ramowych wzorów umów dotyczących realizacji zadań publicznych oraz wzorów sprawozdań z wykonania tych zadań</w:t>
      </w:r>
      <w:r w:rsidRPr="00080DEB">
        <w:rPr>
          <w:rFonts w:ascii="Arial" w:hAnsi="Arial" w:cs="Arial"/>
        </w:rPr>
        <w:t xml:space="preserve"> jest tylko częściową realizacją tych postulatów. Wciąż bowiem obowiązują niezmienione regulacje odnośnie dotacji zawarte w ustawie o finansach publicznych oraz zakres sprawowanej przez administrację publiczną kontroli i oceny realizowanego zadania publicznego obejmujących m.in. prawidłowość wykorzystania </w:t>
      </w:r>
      <w:r w:rsidRPr="00080DEB">
        <w:rPr>
          <w:rFonts w:ascii="Arial" w:hAnsi="Arial" w:cs="Arial"/>
        </w:rPr>
        <w:lastRenderedPageBreak/>
        <w:t>środków publicznych otrzymanych na realizację zadania oraz prowadzenie dokumentacji związanej z realizowanym zadaniem (art. 17 ustawy o działalności pożytku publicznego i o wolontariacie).</w:t>
      </w:r>
    </w:p>
    <w:p w:rsidR="00080DEB" w:rsidRPr="00080DEB" w:rsidRDefault="00080DEB" w:rsidP="00080DEB">
      <w:pPr>
        <w:tabs>
          <w:tab w:val="left" w:pos="709"/>
        </w:tabs>
        <w:jc w:val="both"/>
        <w:rPr>
          <w:rFonts w:ascii="Arial" w:hAnsi="Arial" w:cs="Arial"/>
        </w:rPr>
      </w:pPr>
      <w:r w:rsidRPr="00080DEB">
        <w:rPr>
          <w:rFonts w:ascii="Arial" w:hAnsi="Arial" w:cs="Arial"/>
        </w:rPr>
        <w:tab/>
        <w:t xml:space="preserve">Zmiany prawne powinny uwzględniać zmieniający się na przestrzeni lat obraz społeczeństwa obywatelskiego, które coraz częściej, oprócz licznych form prawnych, tworzą grupy nieformalne aktywnych obywateli. </w:t>
      </w:r>
    </w:p>
    <w:p w:rsidR="00080DEB" w:rsidRPr="00080DEB" w:rsidRDefault="00080DEB" w:rsidP="00080DEB">
      <w:pPr>
        <w:tabs>
          <w:tab w:val="left" w:pos="709"/>
        </w:tabs>
        <w:jc w:val="both"/>
        <w:rPr>
          <w:rFonts w:ascii="Arial" w:hAnsi="Arial" w:cs="Arial"/>
        </w:rPr>
      </w:pPr>
      <w:r w:rsidRPr="00080DEB">
        <w:rPr>
          <w:rFonts w:ascii="Arial" w:hAnsi="Arial" w:cs="Arial"/>
        </w:rPr>
        <w:tab/>
        <w:t>Konieczne jest również uwzględnienie potrzeb sektora pozarządowego, który wymaga dofinansowania kosztów administracyjnych czy też infrastruktury niezbędnej do funkcjonowania i realizacji zadań publicznych wysokiej jakości. Pojawienie się znacznych środków zewnętrznych, chociażby strukturalnych UE, wymaga także możliwości wsparcia aplikujących o nie partnerów społecznych chociażby poprzez dofinansowanie tzw. wkładów własnych organizacji. Ważnym elementem pomocy powinny być również pożyczki czy poręczenia udzielane organizacjom pozarządowym nieprowadzącym działalności gospodarczej ze środków krajowych lub Unii Europejskiej.</w:t>
      </w:r>
    </w:p>
    <w:p w:rsidR="00080DEB" w:rsidRPr="00080DEB" w:rsidRDefault="00080DEB" w:rsidP="00080DEB">
      <w:pPr>
        <w:tabs>
          <w:tab w:val="left" w:pos="709"/>
        </w:tabs>
        <w:jc w:val="both"/>
        <w:rPr>
          <w:rFonts w:ascii="Arial" w:hAnsi="Arial" w:cs="Arial"/>
        </w:rPr>
      </w:pPr>
      <w:r w:rsidRPr="00080DEB">
        <w:rPr>
          <w:rFonts w:ascii="Arial" w:hAnsi="Arial" w:cs="Arial"/>
        </w:rPr>
        <w:tab/>
        <w:t>Często również organizacje pozarządowe wymagają wsparcia merytorycznego, poradnictwa, czy wręcz współpracy z samorządami i instytucjami publicznymi przy wykonywaniu zadań z udziałem pozyskanych środków zewnętrznych i ich rozliczania w zakresie często skomplikowanych procedur i zasad.</w:t>
      </w:r>
    </w:p>
    <w:p w:rsidR="00080DEB" w:rsidRPr="00080DEB" w:rsidRDefault="00080DEB" w:rsidP="00080DEB">
      <w:pPr>
        <w:tabs>
          <w:tab w:val="left" w:pos="709"/>
        </w:tabs>
        <w:jc w:val="both"/>
        <w:rPr>
          <w:rFonts w:ascii="Arial" w:hAnsi="Arial" w:cs="Arial"/>
        </w:rPr>
      </w:pPr>
      <w:r w:rsidRPr="00080DEB">
        <w:rPr>
          <w:rFonts w:ascii="Arial" w:hAnsi="Arial" w:cs="Arial"/>
        </w:rPr>
        <w:tab/>
        <w:t>Zmiany ustawy o działalności pożytku publicznego i o wolontariacie powinny również uwzględniać następujące kwestie:</w:t>
      </w:r>
    </w:p>
    <w:p w:rsidR="00080DEB" w:rsidRPr="00080DEB" w:rsidRDefault="00080DEB" w:rsidP="00080DEB">
      <w:pPr>
        <w:pStyle w:val="Akapitzlist"/>
        <w:numPr>
          <w:ilvl w:val="0"/>
          <w:numId w:val="5"/>
        </w:numPr>
        <w:spacing w:after="160" w:line="276" w:lineRule="auto"/>
        <w:ind w:left="567" w:hanging="425"/>
        <w:jc w:val="both"/>
        <w:rPr>
          <w:rFonts w:ascii="Arial" w:hAnsi="Arial" w:cs="Arial"/>
        </w:rPr>
      </w:pPr>
      <w:r w:rsidRPr="00080DEB">
        <w:rPr>
          <w:rFonts w:ascii="Arial" w:hAnsi="Arial" w:cs="Arial"/>
        </w:rPr>
        <w:t>Wprowadzenie jasnych definicji powierzenia i wsparcia realizacji zadania publicznego.</w:t>
      </w:r>
    </w:p>
    <w:p w:rsidR="00080DEB" w:rsidRPr="00080DEB" w:rsidRDefault="00080DEB" w:rsidP="00080DEB">
      <w:pPr>
        <w:pStyle w:val="Akapitzlist"/>
        <w:numPr>
          <w:ilvl w:val="0"/>
          <w:numId w:val="5"/>
        </w:numPr>
        <w:spacing w:after="160" w:line="276" w:lineRule="auto"/>
        <w:ind w:left="567" w:hanging="425"/>
        <w:jc w:val="both"/>
        <w:rPr>
          <w:rFonts w:ascii="Arial" w:hAnsi="Arial" w:cs="Arial"/>
        </w:rPr>
      </w:pPr>
      <w:r w:rsidRPr="00080DEB">
        <w:rPr>
          <w:rFonts w:ascii="Arial" w:hAnsi="Arial" w:cs="Arial"/>
        </w:rPr>
        <w:t xml:space="preserve">Doprecyzowanie zapisów dotyczących inicjatywy lokalnej na poziomie samorządu województwa. </w:t>
      </w:r>
    </w:p>
    <w:p w:rsidR="00080DEB" w:rsidRPr="00080DEB" w:rsidRDefault="00080DEB" w:rsidP="00080DEB">
      <w:pPr>
        <w:pStyle w:val="Akapitzlist"/>
        <w:numPr>
          <w:ilvl w:val="0"/>
          <w:numId w:val="5"/>
        </w:numPr>
        <w:spacing w:after="160" w:line="276" w:lineRule="auto"/>
        <w:ind w:left="567" w:hanging="425"/>
        <w:jc w:val="both"/>
        <w:rPr>
          <w:rFonts w:ascii="Arial" w:hAnsi="Arial" w:cs="Arial"/>
        </w:rPr>
      </w:pPr>
      <w:r w:rsidRPr="00080DEB">
        <w:rPr>
          <w:rFonts w:ascii="Arial" w:hAnsi="Arial" w:cs="Arial"/>
        </w:rPr>
        <w:t>Umożliwienie ogłaszania otwartych konkursów ofert przed 15 listopada roku poprzedzającego rok realizacji zadań – zmiana przepisu art. 13 ust. 5 ustawy.</w:t>
      </w:r>
    </w:p>
    <w:p w:rsidR="00080DEB" w:rsidRPr="00080DEB" w:rsidRDefault="00080DEB" w:rsidP="00080DEB">
      <w:pPr>
        <w:pStyle w:val="Akapitzlist"/>
        <w:numPr>
          <w:ilvl w:val="0"/>
          <w:numId w:val="5"/>
        </w:numPr>
        <w:spacing w:after="160" w:line="276" w:lineRule="auto"/>
        <w:ind w:left="567" w:hanging="425"/>
        <w:jc w:val="both"/>
        <w:rPr>
          <w:rFonts w:ascii="Arial" w:hAnsi="Arial" w:cs="Arial"/>
        </w:rPr>
      </w:pPr>
      <w:r w:rsidRPr="00080DEB">
        <w:rPr>
          <w:rFonts w:ascii="Arial" w:hAnsi="Arial" w:cs="Arial"/>
        </w:rPr>
        <w:t xml:space="preserve">Zniesienie obowiązku przyjmowania rocznego programu współpracy jednostek samorządu terytorialnego z organizacjami pozarządowymi, w przypadku gdy w samorządzie został przyjęty wieloletni program współpracy, który spełnia standardy zawarte w ustawie a na jego podstawie co roku opracowywany jest dokument </w:t>
      </w:r>
      <w:r w:rsidRPr="00080DEB">
        <w:rPr>
          <w:rFonts w:ascii="Arial" w:hAnsi="Arial" w:cs="Arial"/>
        </w:rPr>
        <w:br/>
        <w:t xml:space="preserve">o charakterze operacyjnym (np. plan działań). </w:t>
      </w:r>
    </w:p>
    <w:p w:rsidR="00080DEB" w:rsidRPr="00080DEB" w:rsidRDefault="00080DEB" w:rsidP="00080DEB">
      <w:pPr>
        <w:pStyle w:val="Akapitzlist"/>
        <w:numPr>
          <w:ilvl w:val="0"/>
          <w:numId w:val="5"/>
        </w:numPr>
        <w:spacing w:after="160" w:line="276" w:lineRule="auto"/>
        <w:ind w:left="567" w:hanging="425"/>
        <w:jc w:val="both"/>
        <w:rPr>
          <w:rFonts w:ascii="Arial" w:hAnsi="Arial" w:cs="Arial"/>
        </w:rPr>
      </w:pPr>
      <w:r w:rsidRPr="00080DEB">
        <w:rPr>
          <w:rFonts w:ascii="Arial" w:hAnsi="Arial" w:cs="Arial"/>
        </w:rPr>
        <w:t xml:space="preserve">Wprowadzenie wprost możliwości zwrotu kosztów przejazdu dla przedstawicieli organizacji pozarządowych, którzy są: </w:t>
      </w:r>
    </w:p>
    <w:p w:rsidR="00080DEB" w:rsidRPr="00080DEB" w:rsidRDefault="00080DEB" w:rsidP="00080DEB">
      <w:pPr>
        <w:pStyle w:val="Akapitzlist"/>
        <w:numPr>
          <w:ilvl w:val="0"/>
          <w:numId w:val="6"/>
        </w:numPr>
        <w:spacing w:after="160" w:line="276" w:lineRule="auto"/>
        <w:jc w:val="both"/>
        <w:rPr>
          <w:rFonts w:ascii="Arial" w:hAnsi="Arial" w:cs="Arial"/>
        </w:rPr>
      </w:pPr>
      <w:r w:rsidRPr="00080DEB">
        <w:rPr>
          <w:rFonts w:ascii="Arial" w:hAnsi="Arial" w:cs="Arial"/>
        </w:rPr>
        <w:t>członkami gminnych i powiatowych rad działalności pożytku publicznego,</w:t>
      </w:r>
    </w:p>
    <w:p w:rsidR="00080DEB" w:rsidRPr="00080DEB" w:rsidRDefault="00080DEB" w:rsidP="00080DEB">
      <w:pPr>
        <w:pStyle w:val="Akapitzlist"/>
        <w:numPr>
          <w:ilvl w:val="0"/>
          <w:numId w:val="6"/>
        </w:numPr>
        <w:spacing w:after="160" w:line="276" w:lineRule="auto"/>
        <w:jc w:val="both"/>
        <w:rPr>
          <w:rFonts w:ascii="Arial" w:hAnsi="Arial" w:cs="Arial"/>
        </w:rPr>
      </w:pPr>
      <w:r w:rsidRPr="00080DEB">
        <w:rPr>
          <w:rFonts w:ascii="Arial" w:hAnsi="Arial" w:cs="Arial"/>
        </w:rPr>
        <w:t xml:space="preserve">zespołów doradczo-inicjatywnych, </w:t>
      </w:r>
    </w:p>
    <w:p w:rsidR="00080DEB" w:rsidRPr="00080DEB" w:rsidRDefault="00080DEB" w:rsidP="00080DEB">
      <w:pPr>
        <w:pStyle w:val="Akapitzlist"/>
        <w:numPr>
          <w:ilvl w:val="0"/>
          <w:numId w:val="6"/>
        </w:numPr>
        <w:spacing w:after="160" w:line="276" w:lineRule="auto"/>
        <w:jc w:val="both"/>
        <w:rPr>
          <w:rFonts w:ascii="Arial" w:hAnsi="Arial" w:cs="Arial"/>
        </w:rPr>
      </w:pPr>
      <w:r w:rsidRPr="00080DEB">
        <w:rPr>
          <w:rFonts w:ascii="Arial" w:hAnsi="Arial" w:cs="Arial"/>
        </w:rPr>
        <w:t xml:space="preserve">komisji konkursowych powoływanych przez samorządy. </w:t>
      </w:r>
    </w:p>
    <w:p w:rsidR="00080DEB" w:rsidRPr="00080DEB" w:rsidRDefault="00080DEB" w:rsidP="00080DEB">
      <w:pPr>
        <w:pStyle w:val="Akapitzlist"/>
        <w:numPr>
          <w:ilvl w:val="0"/>
          <w:numId w:val="5"/>
        </w:numPr>
        <w:spacing w:after="160" w:line="276" w:lineRule="auto"/>
        <w:ind w:left="567" w:hanging="425"/>
        <w:jc w:val="both"/>
        <w:rPr>
          <w:rFonts w:ascii="Arial" w:hAnsi="Arial" w:cs="Arial"/>
        </w:rPr>
      </w:pPr>
      <w:r w:rsidRPr="00080DEB">
        <w:rPr>
          <w:rFonts w:ascii="Arial" w:hAnsi="Arial" w:cs="Arial"/>
        </w:rPr>
        <w:t xml:space="preserve">W celu ułatwienia przedstawicielom organizacji pozarządowych angażowania się </w:t>
      </w:r>
      <w:r w:rsidRPr="00080DEB">
        <w:rPr>
          <w:rFonts w:ascii="Arial" w:hAnsi="Arial" w:cs="Arial"/>
        </w:rPr>
        <w:br/>
        <w:t xml:space="preserve">w działalność społeczną w pracach rad i zespołów roboczych wymienionych </w:t>
      </w:r>
      <w:r>
        <w:rPr>
          <w:rFonts w:ascii="Arial" w:hAnsi="Arial" w:cs="Arial"/>
        </w:rPr>
        <w:br/>
      </w:r>
      <w:r w:rsidRPr="00080DEB">
        <w:rPr>
          <w:rFonts w:ascii="Arial" w:hAnsi="Arial" w:cs="Arial"/>
        </w:rPr>
        <w:lastRenderedPageBreak/>
        <w:t>w pkt 6 oraz Wojewódzkich Rad Działalności Pożytku Publicznego - wprowadzenie możliwości usprawiedliwiania nieobecności w pracy na mocy Rozporządzenia Ministra Pracy i Polityki Socjalnej z dnia 15 maja 1996 r. w sprawie sposobu usprawiedliwiania nieobecności w pracy oraz udzielania pracownikom zwolnień z pracy (Dz.U. z 2014 r. poz. 1632).</w:t>
      </w:r>
    </w:p>
    <w:p w:rsidR="00080DEB" w:rsidRPr="00080DEB" w:rsidRDefault="00080DEB" w:rsidP="00080DEB">
      <w:pPr>
        <w:pStyle w:val="Akapitzlist"/>
        <w:numPr>
          <w:ilvl w:val="0"/>
          <w:numId w:val="5"/>
        </w:numPr>
        <w:spacing w:after="160" w:line="276" w:lineRule="auto"/>
        <w:ind w:left="567" w:hanging="425"/>
        <w:jc w:val="both"/>
        <w:rPr>
          <w:rFonts w:ascii="Arial" w:hAnsi="Arial" w:cs="Arial"/>
        </w:rPr>
      </w:pPr>
      <w:r w:rsidRPr="00080DEB">
        <w:rPr>
          <w:rFonts w:ascii="Arial" w:hAnsi="Arial" w:cs="Arial"/>
        </w:rPr>
        <w:t>Zniesienie obowiązku wywieszania ogłoszeń konkursowych w siedzibie organu administracji, w miejscu przeznaczonym na zamieszczanie ogłoszeń – z uwagi na małą skuteczność tego sposobu informowania w dobie szybkiego rozwoju usług komunikacji elektronicznej.</w:t>
      </w:r>
    </w:p>
    <w:p w:rsidR="00080DEB" w:rsidRPr="00080DEB" w:rsidRDefault="00080DEB" w:rsidP="00080DEB">
      <w:pPr>
        <w:pStyle w:val="Akapitzlist"/>
        <w:numPr>
          <w:ilvl w:val="0"/>
          <w:numId w:val="5"/>
        </w:numPr>
        <w:spacing w:after="160" w:line="276" w:lineRule="auto"/>
        <w:ind w:left="567" w:hanging="425"/>
        <w:jc w:val="both"/>
        <w:rPr>
          <w:rFonts w:ascii="Arial" w:hAnsi="Arial" w:cs="Arial"/>
        </w:rPr>
      </w:pPr>
      <w:r w:rsidRPr="00080DEB">
        <w:rPr>
          <w:rFonts w:ascii="Arial" w:hAnsi="Arial" w:cs="Arial"/>
        </w:rPr>
        <w:t>Uszczegółowienie procedury art. 19a dotyczącej rozpatrywania ofert złożonych w trybie pozakonkursowym.</w:t>
      </w:r>
    </w:p>
    <w:p w:rsidR="00080DEB" w:rsidRPr="00080DEB" w:rsidRDefault="00080DEB" w:rsidP="00080DEB">
      <w:pPr>
        <w:pStyle w:val="Akapitzlist"/>
        <w:numPr>
          <w:ilvl w:val="0"/>
          <w:numId w:val="5"/>
        </w:numPr>
        <w:spacing w:after="160" w:line="276" w:lineRule="auto"/>
        <w:ind w:left="567" w:hanging="425"/>
        <w:jc w:val="both"/>
        <w:rPr>
          <w:rFonts w:ascii="Arial" w:hAnsi="Arial" w:cs="Arial"/>
        </w:rPr>
      </w:pPr>
      <w:r w:rsidRPr="00080DEB">
        <w:rPr>
          <w:rFonts w:ascii="Arial" w:hAnsi="Arial" w:cs="Arial"/>
        </w:rPr>
        <w:t>Uregulowanie statusu Rad Młodzieżowych i Rad Seniora na wszystkich szczeblach samorządu.</w:t>
      </w:r>
    </w:p>
    <w:p w:rsidR="00080DEB" w:rsidRPr="00080DEB" w:rsidRDefault="00080DEB" w:rsidP="00080DEB">
      <w:pPr>
        <w:spacing w:after="160"/>
        <w:ind w:firstLine="567"/>
        <w:jc w:val="both"/>
        <w:rPr>
          <w:rFonts w:ascii="Arial" w:hAnsi="Arial" w:cs="Arial"/>
        </w:rPr>
      </w:pPr>
      <w:r w:rsidRPr="00080DEB">
        <w:rPr>
          <w:rFonts w:ascii="Arial" w:hAnsi="Arial" w:cs="Arial"/>
          <w:b/>
        </w:rPr>
        <w:t xml:space="preserve">W związku z powyższym Konwent Marszałków Województw RP postuluje podjęcie szerokiej debaty publicznej nad zmianą ustawy o działalności pożytku publicznego i o wolontariacie, uwzględniających doświadczenia i postulaty strony samorządowej i pozarządowej oraz dostosowujących ją do potrzeb dynamicznie zmieniającej się rzeczywistości. W pracach tych należy uwzględnić konieczność zachowania spójności z innymi przepisami prawa </w:t>
      </w:r>
      <w:r>
        <w:rPr>
          <w:rFonts w:ascii="Arial" w:hAnsi="Arial" w:cs="Arial"/>
          <w:b/>
        </w:rPr>
        <w:br/>
      </w:r>
      <w:bookmarkStart w:id="0" w:name="_GoBack"/>
      <w:bookmarkEnd w:id="0"/>
      <w:r w:rsidRPr="00080DEB">
        <w:rPr>
          <w:rFonts w:ascii="Arial" w:hAnsi="Arial" w:cs="Arial"/>
          <w:b/>
        </w:rPr>
        <w:t xml:space="preserve">w obszarze pożytku publicznego. </w:t>
      </w:r>
    </w:p>
    <w:p w:rsidR="00890160" w:rsidRDefault="00890160" w:rsidP="00E364D4">
      <w:pPr>
        <w:spacing w:line="360" w:lineRule="auto"/>
        <w:ind w:firstLine="708"/>
        <w:jc w:val="both"/>
      </w:pPr>
    </w:p>
    <w:sectPr w:rsidR="00890160" w:rsidSect="00E975B1">
      <w:headerReference w:type="default" r:id="rId9"/>
      <w:footerReference w:type="default" r:id="rId10"/>
      <w:pgSz w:w="11906" w:h="16838"/>
      <w:pgMar w:top="1213" w:right="1418" w:bottom="1276" w:left="1418" w:header="709"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1EB" w:rsidRDefault="002721EB" w:rsidP="008218AB">
      <w:r>
        <w:separator/>
      </w:r>
    </w:p>
  </w:endnote>
  <w:endnote w:type="continuationSeparator" w:id="0">
    <w:p w:rsidR="002721EB" w:rsidRDefault="002721EB" w:rsidP="0082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E4" w:rsidRDefault="00E975B1" w:rsidP="00E65874">
    <w:pPr>
      <w:pStyle w:val="Stopka"/>
      <w:ind w:hanging="1276"/>
    </w:pPr>
    <w:r>
      <w:rPr>
        <w:noProof/>
        <w:lang w:eastAsia="pl-PL"/>
      </w:rPr>
      <w:drawing>
        <wp:inline distT="0" distB="0" distL="0" distR="0" wp14:anchorId="13F34F2D" wp14:editId="783122CC">
          <wp:extent cx="7407910" cy="399404"/>
          <wp:effectExtent l="0" t="0" r="0" b="127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topka konwen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9350" cy="4582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1EB" w:rsidRDefault="002721EB" w:rsidP="008218AB">
      <w:r>
        <w:separator/>
      </w:r>
    </w:p>
  </w:footnote>
  <w:footnote w:type="continuationSeparator" w:id="0">
    <w:p w:rsidR="002721EB" w:rsidRDefault="002721EB" w:rsidP="00821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E4" w:rsidRDefault="00E975B1" w:rsidP="008218AB">
    <w:pPr>
      <w:pStyle w:val="Nagwek"/>
      <w:ind w:hanging="1276"/>
    </w:pPr>
    <w:r>
      <w:rPr>
        <w:noProof/>
        <w:lang w:eastAsia="pl-PL"/>
      </w:rPr>
      <w:drawing>
        <wp:inline distT="0" distB="0" distL="0" distR="0" wp14:anchorId="3926A10A" wp14:editId="19FCD7E6">
          <wp:extent cx="7408490" cy="1220028"/>
          <wp:effectExtent l="0" t="0" r="254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nagłówek konwen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6768" cy="1224685"/>
                  </a:xfrm>
                  <a:prstGeom prst="rect">
                    <a:avLst/>
                  </a:prstGeom>
                </pic:spPr>
              </pic:pic>
            </a:graphicData>
          </a:graphic>
        </wp:inline>
      </w:drawing>
    </w:r>
  </w:p>
  <w:p w:rsidR="008218AB" w:rsidRDefault="008218AB" w:rsidP="00C900E4">
    <w:pPr>
      <w:pStyle w:val="Nagwek"/>
      <w:ind w:hanging="1134"/>
    </w:pPr>
  </w:p>
  <w:p w:rsidR="00E975B1" w:rsidRPr="00C900E4" w:rsidRDefault="00E975B1" w:rsidP="00C900E4">
    <w:pPr>
      <w:pStyle w:val="Nagwek"/>
      <w:ind w:hanging="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E0FC3"/>
    <w:multiLevelType w:val="hybridMultilevel"/>
    <w:tmpl w:val="76FC3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E07D13"/>
    <w:multiLevelType w:val="hybridMultilevel"/>
    <w:tmpl w:val="361EAC3A"/>
    <w:lvl w:ilvl="0" w:tplc="D6BA40AC">
      <w:start w:val="1"/>
      <w:numFmt w:val="bullet"/>
      <w:lvlText w:val=""/>
      <w:lvlJc w:val="left"/>
      <w:pPr>
        <w:tabs>
          <w:tab w:val="num" w:pos="720"/>
        </w:tabs>
        <w:ind w:left="720" w:hanging="360"/>
      </w:pPr>
      <w:rPr>
        <w:rFonts w:ascii="Wingdings" w:hAnsi="Wingdings" w:hint="default"/>
      </w:rPr>
    </w:lvl>
    <w:lvl w:ilvl="1" w:tplc="69C667B0" w:tentative="1">
      <w:start w:val="1"/>
      <w:numFmt w:val="bullet"/>
      <w:lvlText w:val=""/>
      <w:lvlJc w:val="left"/>
      <w:pPr>
        <w:tabs>
          <w:tab w:val="num" w:pos="1440"/>
        </w:tabs>
        <w:ind w:left="1440" w:hanging="360"/>
      </w:pPr>
      <w:rPr>
        <w:rFonts w:ascii="Wingdings" w:hAnsi="Wingdings" w:hint="default"/>
      </w:rPr>
    </w:lvl>
    <w:lvl w:ilvl="2" w:tplc="29D2BE12" w:tentative="1">
      <w:start w:val="1"/>
      <w:numFmt w:val="bullet"/>
      <w:lvlText w:val=""/>
      <w:lvlJc w:val="left"/>
      <w:pPr>
        <w:tabs>
          <w:tab w:val="num" w:pos="2160"/>
        </w:tabs>
        <w:ind w:left="2160" w:hanging="360"/>
      </w:pPr>
      <w:rPr>
        <w:rFonts w:ascii="Wingdings" w:hAnsi="Wingdings" w:hint="default"/>
      </w:rPr>
    </w:lvl>
    <w:lvl w:ilvl="3" w:tplc="381264F8" w:tentative="1">
      <w:start w:val="1"/>
      <w:numFmt w:val="bullet"/>
      <w:lvlText w:val=""/>
      <w:lvlJc w:val="left"/>
      <w:pPr>
        <w:tabs>
          <w:tab w:val="num" w:pos="2880"/>
        </w:tabs>
        <w:ind w:left="2880" w:hanging="360"/>
      </w:pPr>
      <w:rPr>
        <w:rFonts w:ascii="Wingdings" w:hAnsi="Wingdings" w:hint="default"/>
      </w:rPr>
    </w:lvl>
    <w:lvl w:ilvl="4" w:tplc="FA6EF966" w:tentative="1">
      <w:start w:val="1"/>
      <w:numFmt w:val="bullet"/>
      <w:lvlText w:val=""/>
      <w:lvlJc w:val="left"/>
      <w:pPr>
        <w:tabs>
          <w:tab w:val="num" w:pos="3600"/>
        </w:tabs>
        <w:ind w:left="3600" w:hanging="360"/>
      </w:pPr>
      <w:rPr>
        <w:rFonts w:ascii="Wingdings" w:hAnsi="Wingdings" w:hint="default"/>
      </w:rPr>
    </w:lvl>
    <w:lvl w:ilvl="5" w:tplc="7C5A07C0" w:tentative="1">
      <w:start w:val="1"/>
      <w:numFmt w:val="bullet"/>
      <w:lvlText w:val=""/>
      <w:lvlJc w:val="left"/>
      <w:pPr>
        <w:tabs>
          <w:tab w:val="num" w:pos="4320"/>
        </w:tabs>
        <w:ind w:left="4320" w:hanging="360"/>
      </w:pPr>
      <w:rPr>
        <w:rFonts w:ascii="Wingdings" w:hAnsi="Wingdings" w:hint="default"/>
      </w:rPr>
    </w:lvl>
    <w:lvl w:ilvl="6" w:tplc="BC361206" w:tentative="1">
      <w:start w:val="1"/>
      <w:numFmt w:val="bullet"/>
      <w:lvlText w:val=""/>
      <w:lvlJc w:val="left"/>
      <w:pPr>
        <w:tabs>
          <w:tab w:val="num" w:pos="5040"/>
        </w:tabs>
        <w:ind w:left="5040" w:hanging="360"/>
      </w:pPr>
      <w:rPr>
        <w:rFonts w:ascii="Wingdings" w:hAnsi="Wingdings" w:hint="default"/>
      </w:rPr>
    </w:lvl>
    <w:lvl w:ilvl="7" w:tplc="CB5E78B2" w:tentative="1">
      <w:start w:val="1"/>
      <w:numFmt w:val="bullet"/>
      <w:lvlText w:val=""/>
      <w:lvlJc w:val="left"/>
      <w:pPr>
        <w:tabs>
          <w:tab w:val="num" w:pos="5760"/>
        </w:tabs>
        <w:ind w:left="5760" w:hanging="360"/>
      </w:pPr>
      <w:rPr>
        <w:rFonts w:ascii="Wingdings" w:hAnsi="Wingdings" w:hint="default"/>
      </w:rPr>
    </w:lvl>
    <w:lvl w:ilvl="8" w:tplc="B276D35C" w:tentative="1">
      <w:start w:val="1"/>
      <w:numFmt w:val="bullet"/>
      <w:lvlText w:val=""/>
      <w:lvlJc w:val="left"/>
      <w:pPr>
        <w:tabs>
          <w:tab w:val="num" w:pos="6480"/>
        </w:tabs>
        <w:ind w:left="6480" w:hanging="360"/>
      </w:pPr>
      <w:rPr>
        <w:rFonts w:ascii="Wingdings" w:hAnsi="Wingdings" w:hint="default"/>
      </w:rPr>
    </w:lvl>
  </w:abstractNum>
  <w:abstractNum w:abstractNumId="2">
    <w:nsid w:val="388A3A89"/>
    <w:multiLevelType w:val="hybridMultilevel"/>
    <w:tmpl w:val="93F84018"/>
    <w:lvl w:ilvl="0" w:tplc="6AEA2074">
      <w:start w:val="1"/>
      <w:numFmt w:val="bullet"/>
      <w:lvlText w:val="•"/>
      <w:lvlJc w:val="left"/>
      <w:pPr>
        <w:tabs>
          <w:tab w:val="num" w:pos="720"/>
        </w:tabs>
        <w:ind w:left="720" w:hanging="360"/>
      </w:pPr>
      <w:rPr>
        <w:rFonts w:ascii="Arial" w:hAnsi="Arial" w:hint="default"/>
      </w:rPr>
    </w:lvl>
    <w:lvl w:ilvl="1" w:tplc="8DCA0F74" w:tentative="1">
      <w:start w:val="1"/>
      <w:numFmt w:val="bullet"/>
      <w:lvlText w:val="•"/>
      <w:lvlJc w:val="left"/>
      <w:pPr>
        <w:tabs>
          <w:tab w:val="num" w:pos="1440"/>
        </w:tabs>
        <w:ind w:left="1440" w:hanging="360"/>
      </w:pPr>
      <w:rPr>
        <w:rFonts w:ascii="Arial" w:hAnsi="Arial" w:hint="default"/>
      </w:rPr>
    </w:lvl>
    <w:lvl w:ilvl="2" w:tplc="181C56A8" w:tentative="1">
      <w:start w:val="1"/>
      <w:numFmt w:val="bullet"/>
      <w:lvlText w:val="•"/>
      <w:lvlJc w:val="left"/>
      <w:pPr>
        <w:tabs>
          <w:tab w:val="num" w:pos="2160"/>
        </w:tabs>
        <w:ind w:left="2160" w:hanging="360"/>
      </w:pPr>
      <w:rPr>
        <w:rFonts w:ascii="Arial" w:hAnsi="Arial" w:hint="default"/>
      </w:rPr>
    </w:lvl>
    <w:lvl w:ilvl="3" w:tplc="D4EC04BA" w:tentative="1">
      <w:start w:val="1"/>
      <w:numFmt w:val="bullet"/>
      <w:lvlText w:val="•"/>
      <w:lvlJc w:val="left"/>
      <w:pPr>
        <w:tabs>
          <w:tab w:val="num" w:pos="2880"/>
        </w:tabs>
        <w:ind w:left="2880" w:hanging="360"/>
      </w:pPr>
      <w:rPr>
        <w:rFonts w:ascii="Arial" w:hAnsi="Arial" w:hint="default"/>
      </w:rPr>
    </w:lvl>
    <w:lvl w:ilvl="4" w:tplc="9FF06848" w:tentative="1">
      <w:start w:val="1"/>
      <w:numFmt w:val="bullet"/>
      <w:lvlText w:val="•"/>
      <w:lvlJc w:val="left"/>
      <w:pPr>
        <w:tabs>
          <w:tab w:val="num" w:pos="3600"/>
        </w:tabs>
        <w:ind w:left="3600" w:hanging="360"/>
      </w:pPr>
      <w:rPr>
        <w:rFonts w:ascii="Arial" w:hAnsi="Arial" w:hint="default"/>
      </w:rPr>
    </w:lvl>
    <w:lvl w:ilvl="5" w:tplc="2E0C0352" w:tentative="1">
      <w:start w:val="1"/>
      <w:numFmt w:val="bullet"/>
      <w:lvlText w:val="•"/>
      <w:lvlJc w:val="left"/>
      <w:pPr>
        <w:tabs>
          <w:tab w:val="num" w:pos="4320"/>
        </w:tabs>
        <w:ind w:left="4320" w:hanging="360"/>
      </w:pPr>
      <w:rPr>
        <w:rFonts w:ascii="Arial" w:hAnsi="Arial" w:hint="default"/>
      </w:rPr>
    </w:lvl>
    <w:lvl w:ilvl="6" w:tplc="D516678C" w:tentative="1">
      <w:start w:val="1"/>
      <w:numFmt w:val="bullet"/>
      <w:lvlText w:val="•"/>
      <w:lvlJc w:val="left"/>
      <w:pPr>
        <w:tabs>
          <w:tab w:val="num" w:pos="5040"/>
        </w:tabs>
        <w:ind w:left="5040" w:hanging="360"/>
      </w:pPr>
      <w:rPr>
        <w:rFonts w:ascii="Arial" w:hAnsi="Arial" w:hint="default"/>
      </w:rPr>
    </w:lvl>
    <w:lvl w:ilvl="7" w:tplc="CAB86AB4" w:tentative="1">
      <w:start w:val="1"/>
      <w:numFmt w:val="bullet"/>
      <w:lvlText w:val="•"/>
      <w:lvlJc w:val="left"/>
      <w:pPr>
        <w:tabs>
          <w:tab w:val="num" w:pos="5760"/>
        </w:tabs>
        <w:ind w:left="5760" w:hanging="360"/>
      </w:pPr>
      <w:rPr>
        <w:rFonts w:ascii="Arial" w:hAnsi="Arial" w:hint="default"/>
      </w:rPr>
    </w:lvl>
    <w:lvl w:ilvl="8" w:tplc="18CC9876" w:tentative="1">
      <w:start w:val="1"/>
      <w:numFmt w:val="bullet"/>
      <w:lvlText w:val="•"/>
      <w:lvlJc w:val="left"/>
      <w:pPr>
        <w:tabs>
          <w:tab w:val="num" w:pos="6480"/>
        </w:tabs>
        <w:ind w:left="6480" w:hanging="360"/>
      </w:pPr>
      <w:rPr>
        <w:rFonts w:ascii="Arial" w:hAnsi="Arial" w:hint="default"/>
      </w:rPr>
    </w:lvl>
  </w:abstractNum>
  <w:abstractNum w:abstractNumId="3">
    <w:nsid w:val="5BDE11BD"/>
    <w:multiLevelType w:val="hybridMultilevel"/>
    <w:tmpl w:val="BE88E1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5F934B64"/>
    <w:multiLevelType w:val="hybridMultilevel"/>
    <w:tmpl w:val="ED8479F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nsid w:val="6ED54194"/>
    <w:multiLevelType w:val="hybridMultilevel"/>
    <w:tmpl w:val="1272E4F0"/>
    <w:lvl w:ilvl="0" w:tplc="553E86CA">
      <w:start w:val="1"/>
      <w:numFmt w:val="decimal"/>
      <w:lvlText w:val="%1."/>
      <w:lvlJc w:val="left"/>
      <w:pPr>
        <w:tabs>
          <w:tab w:val="num" w:pos="720"/>
        </w:tabs>
        <w:ind w:left="720" w:hanging="360"/>
      </w:pPr>
    </w:lvl>
    <w:lvl w:ilvl="1" w:tplc="87F2F292">
      <w:start w:val="1"/>
      <w:numFmt w:val="decimal"/>
      <w:lvlText w:val="%2."/>
      <w:lvlJc w:val="left"/>
      <w:pPr>
        <w:tabs>
          <w:tab w:val="num" w:pos="1440"/>
        </w:tabs>
        <w:ind w:left="1440" w:hanging="360"/>
      </w:pPr>
    </w:lvl>
    <w:lvl w:ilvl="2" w:tplc="621A060C" w:tentative="1">
      <w:start w:val="1"/>
      <w:numFmt w:val="decimal"/>
      <w:lvlText w:val="%3."/>
      <w:lvlJc w:val="left"/>
      <w:pPr>
        <w:tabs>
          <w:tab w:val="num" w:pos="2160"/>
        </w:tabs>
        <w:ind w:left="2160" w:hanging="360"/>
      </w:pPr>
    </w:lvl>
    <w:lvl w:ilvl="3" w:tplc="4B3EDAD4">
      <w:start w:val="100"/>
      <w:numFmt w:val="bullet"/>
      <w:lvlText w:val=""/>
      <w:lvlJc w:val="left"/>
      <w:pPr>
        <w:tabs>
          <w:tab w:val="num" w:pos="2880"/>
        </w:tabs>
        <w:ind w:left="2880" w:hanging="360"/>
      </w:pPr>
      <w:rPr>
        <w:rFonts w:ascii="Wingdings" w:hAnsi="Wingdings" w:hint="default"/>
      </w:rPr>
    </w:lvl>
    <w:lvl w:ilvl="4" w:tplc="733AF7CC" w:tentative="1">
      <w:start w:val="1"/>
      <w:numFmt w:val="decimal"/>
      <w:lvlText w:val="%5."/>
      <w:lvlJc w:val="left"/>
      <w:pPr>
        <w:tabs>
          <w:tab w:val="num" w:pos="3600"/>
        </w:tabs>
        <w:ind w:left="3600" w:hanging="360"/>
      </w:pPr>
    </w:lvl>
    <w:lvl w:ilvl="5" w:tplc="130CF0EC" w:tentative="1">
      <w:start w:val="1"/>
      <w:numFmt w:val="decimal"/>
      <w:lvlText w:val="%6."/>
      <w:lvlJc w:val="left"/>
      <w:pPr>
        <w:tabs>
          <w:tab w:val="num" w:pos="4320"/>
        </w:tabs>
        <w:ind w:left="4320" w:hanging="360"/>
      </w:pPr>
    </w:lvl>
    <w:lvl w:ilvl="6" w:tplc="255244D8" w:tentative="1">
      <w:start w:val="1"/>
      <w:numFmt w:val="decimal"/>
      <w:lvlText w:val="%7."/>
      <w:lvlJc w:val="left"/>
      <w:pPr>
        <w:tabs>
          <w:tab w:val="num" w:pos="5040"/>
        </w:tabs>
        <w:ind w:left="5040" w:hanging="360"/>
      </w:pPr>
    </w:lvl>
    <w:lvl w:ilvl="7" w:tplc="65BEA600" w:tentative="1">
      <w:start w:val="1"/>
      <w:numFmt w:val="decimal"/>
      <w:lvlText w:val="%8."/>
      <w:lvlJc w:val="left"/>
      <w:pPr>
        <w:tabs>
          <w:tab w:val="num" w:pos="5760"/>
        </w:tabs>
        <w:ind w:left="5760" w:hanging="360"/>
      </w:pPr>
    </w:lvl>
    <w:lvl w:ilvl="8" w:tplc="E7C87EE4"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AB"/>
    <w:rsid w:val="00025989"/>
    <w:rsid w:val="000411C5"/>
    <w:rsid w:val="00067C87"/>
    <w:rsid w:val="00080DEB"/>
    <w:rsid w:val="0009104D"/>
    <w:rsid w:val="001074ED"/>
    <w:rsid w:val="0013686A"/>
    <w:rsid w:val="002448F1"/>
    <w:rsid w:val="00247B08"/>
    <w:rsid w:val="002721EB"/>
    <w:rsid w:val="002E0891"/>
    <w:rsid w:val="002E6E5D"/>
    <w:rsid w:val="003125B6"/>
    <w:rsid w:val="004948E5"/>
    <w:rsid w:val="004F2569"/>
    <w:rsid w:val="005616BC"/>
    <w:rsid w:val="00597F2E"/>
    <w:rsid w:val="005A39AC"/>
    <w:rsid w:val="005E7400"/>
    <w:rsid w:val="006063FC"/>
    <w:rsid w:val="006068D9"/>
    <w:rsid w:val="00722A85"/>
    <w:rsid w:val="0072324D"/>
    <w:rsid w:val="00767FBE"/>
    <w:rsid w:val="008218AB"/>
    <w:rsid w:val="00890160"/>
    <w:rsid w:val="008E6590"/>
    <w:rsid w:val="0090166E"/>
    <w:rsid w:val="00955076"/>
    <w:rsid w:val="00972FAC"/>
    <w:rsid w:val="00993CFB"/>
    <w:rsid w:val="00A611ED"/>
    <w:rsid w:val="00A73E47"/>
    <w:rsid w:val="00B15607"/>
    <w:rsid w:val="00B3247C"/>
    <w:rsid w:val="00B94EFE"/>
    <w:rsid w:val="00BC0986"/>
    <w:rsid w:val="00C13E9C"/>
    <w:rsid w:val="00CA021B"/>
    <w:rsid w:val="00CB64E6"/>
    <w:rsid w:val="00CD415C"/>
    <w:rsid w:val="00D17420"/>
    <w:rsid w:val="00D90B61"/>
    <w:rsid w:val="00E364D4"/>
    <w:rsid w:val="00E975B1"/>
    <w:rsid w:val="00EC44C2"/>
    <w:rsid w:val="00F00CF4"/>
    <w:rsid w:val="00F0527A"/>
    <w:rsid w:val="00F844C6"/>
    <w:rsid w:val="00FD11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18A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8218AB"/>
    <w:pPr>
      <w:keepNext/>
      <w:ind w:right="-851"/>
      <w:outlineLvl w:val="0"/>
    </w:pPr>
    <w:rPr>
      <w:rFonts w:ascii="Arial" w:hAnsi="Arial" w:cs="Arial"/>
      <w:b/>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18AB"/>
    <w:rPr>
      <w:rFonts w:ascii="Arial" w:eastAsia="Times New Roman" w:hAnsi="Arial" w:cs="Arial"/>
      <w:b/>
      <w:sz w:val="28"/>
      <w:szCs w:val="28"/>
      <w:lang w:eastAsia="ar-SA"/>
    </w:rPr>
  </w:style>
  <w:style w:type="table" w:styleId="Tabela-Siatka">
    <w:name w:val="Table Grid"/>
    <w:basedOn w:val="Standardowy"/>
    <w:uiPriority w:val="39"/>
    <w:rsid w:val="00821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8218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218AB"/>
    <w:pPr>
      <w:tabs>
        <w:tab w:val="center" w:pos="4536"/>
        <w:tab w:val="right" w:pos="9072"/>
      </w:tabs>
    </w:pPr>
  </w:style>
  <w:style w:type="character" w:customStyle="1" w:styleId="NagwekZnak">
    <w:name w:val="Nagłówek Znak"/>
    <w:basedOn w:val="Domylnaczcionkaakapitu"/>
    <w:link w:val="Nagwek"/>
    <w:uiPriority w:val="99"/>
    <w:rsid w:val="008218AB"/>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8218AB"/>
    <w:pPr>
      <w:tabs>
        <w:tab w:val="center" w:pos="4536"/>
        <w:tab w:val="right" w:pos="9072"/>
      </w:tabs>
    </w:pPr>
  </w:style>
  <w:style w:type="character" w:customStyle="1" w:styleId="StopkaZnak">
    <w:name w:val="Stopka Znak"/>
    <w:basedOn w:val="Domylnaczcionkaakapitu"/>
    <w:link w:val="Stopka"/>
    <w:uiPriority w:val="99"/>
    <w:rsid w:val="008218AB"/>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8218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18AB"/>
    <w:rPr>
      <w:rFonts w:ascii="Segoe UI" w:eastAsia="Times New Roman" w:hAnsi="Segoe UI" w:cs="Segoe UI"/>
      <w:sz w:val="18"/>
      <w:szCs w:val="18"/>
      <w:lang w:eastAsia="ar-SA"/>
    </w:rPr>
  </w:style>
  <w:style w:type="character" w:styleId="Pogrubienie">
    <w:name w:val="Strong"/>
    <w:basedOn w:val="Domylnaczcionkaakapitu"/>
    <w:uiPriority w:val="22"/>
    <w:qFormat/>
    <w:rsid w:val="00F844C6"/>
    <w:rPr>
      <w:b/>
      <w:bCs/>
    </w:rPr>
  </w:style>
  <w:style w:type="paragraph" w:styleId="Akapitzlist">
    <w:name w:val="List Paragraph"/>
    <w:basedOn w:val="Normalny"/>
    <w:uiPriority w:val="34"/>
    <w:qFormat/>
    <w:rsid w:val="00CD415C"/>
    <w:pPr>
      <w:suppressAutoHyphens w:val="0"/>
      <w:ind w:left="720"/>
      <w:contextualSpacing/>
    </w:pPr>
    <w:rPr>
      <w:lang w:eastAsia="pl-PL"/>
    </w:rPr>
  </w:style>
  <w:style w:type="paragraph" w:styleId="NormalnyWeb">
    <w:name w:val="Normal (Web)"/>
    <w:basedOn w:val="Normalny"/>
    <w:uiPriority w:val="99"/>
    <w:semiHidden/>
    <w:unhideWhenUsed/>
    <w:rsid w:val="001074ED"/>
    <w:pPr>
      <w:suppressAutoHyphens w:val="0"/>
      <w:spacing w:before="100" w:beforeAutospacing="1" w:after="100" w:afterAutospacing="1"/>
    </w:pPr>
    <w:rPr>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18A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8218AB"/>
    <w:pPr>
      <w:keepNext/>
      <w:ind w:right="-851"/>
      <w:outlineLvl w:val="0"/>
    </w:pPr>
    <w:rPr>
      <w:rFonts w:ascii="Arial" w:hAnsi="Arial" w:cs="Arial"/>
      <w:b/>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18AB"/>
    <w:rPr>
      <w:rFonts w:ascii="Arial" w:eastAsia="Times New Roman" w:hAnsi="Arial" w:cs="Arial"/>
      <w:b/>
      <w:sz w:val="28"/>
      <w:szCs w:val="28"/>
      <w:lang w:eastAsia="ar-SA"/>
    </w:rPr>
  </w:style>
  <w:style w:type="table" w:styleId="Tabela-Siatka">
    <w:name w:val="Table Grid"/>
    <w:basedOn w:val="Standardowy"/>
    <w:uiPriority w:val="39"/>
    <w:rsid w:val="00821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8218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218AB"/>
    <w:pPr>
      <w:tabs>
        <w:tab w:val="center" w:pos="4536"/>
        <w:tab w:val="right" w:pos="9072"/>
      </w:tabs>
    </w:pPr>
  </w:style>
  <w:style w:type="character" w:customStyle="1" w:styleId="NagwekZnak">
    <w:name w:val="Nagłówek Znak"/>
    <w:basedOn w:val="Domylnaczcionkaakapitu"/>
    <w:link w:val="Nagwek"/>
    <w:uiPriority w:val="99"/>
    <w:rsid w:val="008218AB"/>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8218AB"/>
    <w:pPr>
      <w:tabs>
        <w:tab w:val="center" w:pos="4536"/>
        <w:tab w:val="right" w:pos="9072"/>
      </w:tabs>
    </w:pPr>
  </w:style>
  <w:style w:type="character" w:customStyle="1" w:styleId="StopkaZnak">
    <w:name w:val="Stopka Znak"/>
    <w:basedOn w:val="Domylnaczcionkaakapitu"/>
    <w:link w:val="Stopka"/>
    <w:uiPriority w:val="99"/>
    <w:rsid w:val="008218AB"/>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8218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18AB"/>
    <w:rPr>
      <w:rFonts w:ascii="Segoe UI" w:eastAsia="Times New Roman" w:hAnsi="Segoe UI" w:cs="Segoe UI"/>
      <w:sz w:val="18"/>
      <w:szCs w:val="18"/>
      <w:lang w:eastAsia="ar-SA"/>
    </w:rPr>
  </w:style>
  <w:style w:type="character" w:styleId="Pogrubienie">
    <w:name w:val="Strong"/>
    <w:basedOn w:val="Domylnaczcionkaakapitu"/>
    <w:uiPriority w:val="22"/>
    <w:qFormat/>
    <w:rsid w:val="00F844C6"/>
    <w:rPr>
      <w:b/>
      <w:bCs/>
    </w:rPr>
  </w:style>
  <w:style w:type="paragraph" w:styleId="Akapitzlist">
    <w:name w:val="List Paragraph"/>
    <w:basedOn w:val="Normalny"/>
    <w:uiPriority w:val="34"/>
    <w:qFormat/>
    <w:rsid w:val="00CD415C"/>
    <w:pPr>
      <w:suppressAutoHyphens w:val="0"/>
      <w:ind w:left="720"/>
      <w:contextualSpacing/>
    </w:pPr>
    <w:rPr>
      <w:lang w:eastAsia="pl-PL"/>
    </w:rPr>
  </w:style>
  <w:style w:type="paragraph" w:styleId="NormalnyWeb">
    <w:name w:val="Normal (Web)"/>
    <w:basedOn w:val="Normalny"/>
    <w:uiPriority w:val="99"/>
    <w:semiHidden/>
    <w:unhideWhenUsed/>
    <w:rsid w:val="001074ED"/>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4577">
      <w:bodyDiv w:val="1"/>
      <w:marLeft w:val="0"/>
      <w:marRight w:val="0"/>
      <w:marTop w:val="0"/>
      <w:marBottom w:val="0"/>
      <w:divBdr>
        <w:top w:val="none" w:sz="0" w:space="0" w:color="auto"/>
        <w:left w:val="none" w:sz="0" w:space="0" w:color="auto"/>
        <w:bottom w:val="none" w:sz="0" w:space="0" w:color="auto"/>
        <w:right w:val="none" w:sz="0" w:space="0" w:color="auto"/>
      </w:divBdr>
    </w:div>
    <w:div w:id="591397035">
      <w:bodyDiv w:val="1"/>
      <w:marLeft w:val="0"/>
      <w:marRight w:val="0"/>
      <w:marTop w:val="0"/>
      <w:marBottom w:val="0"/>
      <w:divBdr>
        <w:top w:val="none" w:sz="0" w:space="0" w:color="auto"/>
        <w:left w:val="none" w:sz="0" w:space="0" w:color="auto"/>
        <w:bottom w:val="none" w:sz="0" w:space="0" w:color="auto"/>
        <w:right w:val="none" w:sz="0" w:space="0" w:color="auto"/>
      </w:divBdr>
    </w:div>
    <w:div w:id="1012103630">
      <w:bodyDiv w:val="1"/>
      <w:marLeft w:val="0"/>
      <w:marRight w:val="0"/>
      <w:marTop w:val="0"/>
      <w:marBottom w:val="0"/>
      <w:divBdr>
        <w:top w:val="none" w:sz="0" w:space="0" w:color="auto"/>
        <w:left w:val="none" w:sz="0" w:space="0" w:color="auto"/>
        <w:bottom w:val="none" w:sz="0" w:space="0" w:color="auto"/>
        <w:right w:val="none" w:sz="0" w:space="0" w:color="auto"/>
      </w:divBdr>
    </w:div>
    <w:div w:id="1122770196">
      <w:bodyDiv w:val="1"/>
      <w:marLeft w:val="0"/>
      <w:marRight w:val="0"/>
      <w:marTop w:val="0"/>
      <w:marBottom w:val="0"/>
      <w:divBdr>
        <w:top w:val="none" w:sz="0" w:space="0" w:color="auto"/>
        <w:left w:val="none" w:sz="0" w:space="0" w:color="auto"/>
        <w:bottom w:val="none" w:sz="0" w:space="0" w:color="auto"/>
        <w:right w:val="none" w:sz="0" w:space="0" w:color="auto"/>
      </w:divBdr>
      <w:divsChild>
        <w:div w:id="1246452069">
          <w:marLeft w:val="547"/>
          <w:marRight w:val="0"/>
          <w:marTop w:val="120"/>
          <w:marBottom w:val="120"/>
          <w:divBdr>
            <w:top w:val="none" w:sz="0" w:space="0" w:color="auto"/>
            <w:left w:val="none" w:sz="0" w:space="0" w:color="auto"/>
            <w:bottom w:val="none" w:sz="0" w:space="0" w:color="auto"/>
            <w:right w:val="none" w:sz="0" w:space="0" w:color="auto"/>
          </w:divBdr>
        </w:div>
        <w:div w:id="1024593635">
          <w:marLeft w:val="547"/>
          <w:marRight w:val="0"/>
          <w:marTop w:val="120"/>
          <w:marBottom w:val="120"/>
          <w:divBdr>
            <w:top w:val="none" w:sz="0" w:space="0" w:color="auto"/>
            <w:left w:val="none" w:sz="0" w:space="0" w:color="auto"/>
            <w:bottom w:val="none" w:sz="0" w:space="0" w:color="auto"/>
            <w:right w:val="none" w:sz="0" w:space="0" w:color="auto"/>
          </w:divBdr>
        </w:div>
        <w:div w:id="1727290459">
          <w:marLeft w:val="1138"/>
          <w:marRight w:val="0"/>
          <w:marTop w:val="0"/>
          <w:marBottom w:val="0"/>
          <w:divBdr>
            <w:top w:val="none" w:sz="0" w:space="0" w:color="auto"/>
            <w:left w:val="none" w:sz="0" w:space="0" w:color="auto"/>
            <w:bottom w:val="none" w:sz="0" w:space="0" w:color="auto"/>
            <w:right w:val="none" w:sz="0" w:space="0" w:color="auto"/>
          </w:divBdr>
        </w:div>
        <w:div w:id="1986349893">
          <w:marLeft w:val="1138"/>
          <w:marRight w:val="0"/>
          <w:marTop w:val="0"/>
          <w:marBottom w:val="0"/>
          <w:divBdr>
            <w:top w:val="none" w:sz="0" w:space="0" w:color="auto"/>
            <w:left w:val="none" w:sz="0" w:space="0" w:color="auto"/>
            <w:bottom w:val="none" w:sz="0" w:space="0" w:color="auto"/>
            <w:right w:val="none" w:sz="0" w:space="0" w:color="auto"/>
          </w:divBdr>
        </w:div>
        <w:div w:id="160124982">
          <w:marLeft w:val="1138"/>
          <w:marRight w:val="0"/>
          <w:marTop w:val="0"/>
          <w:marBottom w:val="0"/>
          <w:divBdr>
            <w:top w:val="none" w:sz="0" w:space="0" w:color="auto"/>
            <w:left w:val="none" w:sz="0" w:space="0" w:color="auto"/>
            <w:bottom w:val="none" w:sz="0" w:space="0" w:color="auto"/>
            <w:right w:val="none" w:sz="0" w:space="0" w:color="auto"/>
          </w:divBdr>
        </w:div>
      </w:divsChild>
    </w:div>
    <w:div w:id="1628975595">
      <w:bodyDiv w:val="1"/>
      <w:marLeft w:val="0"/>
      <w:marRight w:val="0"/>
      <w:marTop w:val="0"/>
      <w:marBottom w:val="0"/>
      <w:divBdr>
        <w:top w:val="none" w:sz="0" w:space="0" w:color="auto"/>
        <w:left w:val="none" w:sz="0" w:space="0" w:color="auto"/>
        <w:bottom w:val="none" w:sz="0" w:space="0" w:color="auto"/>
        <w:right w:val="none" w:sz="0" w:space="0" w:color="auto"/>
      </w:divBdr>
      <w:divsChild>
        <w:div w:id="1620525101">
          <w:marLeft w:val="1555"/>
          <w:marRight w:val="0"/>
          <w:marTop w:val="134"/>
          <w:marBottom w:val="0"/>
          <w:divBdr>
            <w:top w:val="none" w:sz="0" w:space="0" w:color="auto"/>
            <w:left w:val="none" w:sz="0" w:space="0" w:color="auto"/>
            <w:bottom w:val="none" w:sz="0" w:space="0" w:color="auto"/>
            <w:right w:val="none" w:sz="0" w:space="0" w:color="auto"/>
          </w:divBdr>
        </w:div>
        <w:div w:id="1221406305">
          <w:marLeft w:val="2765"/>
          <w:marRight w:val="0"/>
          <w:marTop w:val="134"/>
          <w:marBottom w:val="0"/>
          <w:divBdr>
            <w:top w:val="none" w:sz="0" w:space="0" w:color="auto"/>
            <w:left w:val="none" w:sz="0" w:space="0" w:color="auto"/>
            <w:bottom w:val="none" w:sz="0" w:space="0" w:color="auto"/>
            <w:right w:val="none" w:sz="0" w:space="0" w:color="auto"/>
          </w:divBdr>
        </w:div>
        <w:div w:id="1044259169">
          <w:marLeft w:val="2765"/>
          <w:marRight w:val="0"/>
          <w:marTop w:val="134"/>
          <w:marBottom w:val="0"/>
          <w:divBdr>
            <w:top w:val="none" w:sz="0" w:space="0" w:color="auto"/>
            <w:left w:val="none" w:sz="0" w:space="0" w:color="auto"/>
            <w:bottom w:val="none" w:sz="0" w:space="0" w:color="auto"/>
            <w:right w:val="none" w:sz="0" w:space="0" w:color="auto"/>
          </w:divBdr>
        </w:div>
        <w:div w:id="1313945409">
          <w:marLeft w:val="2765"/>
          <w:marRight w:val="0"/>
          <w:marTop w:val="134"/>
          <w:marBottom w:val="0"/>
          <w:divBdr>
            <w:top w:val="none" w:sz="0" w:space="0" w:color="auto"/>
            <w:left w:val="none" w:sz="0" w:space="0" w:color="auto"/>
            <w:bottom w:val="none" w:sz="0" w:space="0" w:color="auto"/>
            <w:right w:val="none" w:sz="0" w:space="0" w:color="auto"/>
          </w:divBdr>
        </w:div>
        <w:div w:id="862473958">
          <w:marLeft w:val="2765"/>
          <w:marRight w:val="0"/>
          <w:marTop w:val="134"/>
          <w:marBottom w:val="0"/>
          <w:divBdr>
            <w:top w:val="none" w:sz="0" w:space="0" w:color="auto"/>
            <w:left w:val="none" w:sz="0" w:space="0" w:color="auto"/>
            <w:bottom w:val="none" w:sz="0" w:space="0" w:color="auto"/>
            <w:right w:val="none" w:sz="0" w:space="0" w:color="auto"/>
          </w:divBdr>
        </w:div>
      </w:divsChild>
    </w:div>
    <w:div w:id="209762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B8672-694F-456D-8736-647792E0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973</Words>
  <Characters>5841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Kędzierska</dc:creator>
  <cp:keywords/>
  <dc:description/>
  <cp:lastModifiedBy>Krzysztof Maliszewski</cp:lastModifiedBy>
  <cp:revision>30</cp:revision>
  <cp:lastPrinted>2019-11-27T08:36:00Z</cp:lastPrinted>
  <dcterms:created xsi:type="dcterms:W3CDTF">2019-07-04T12:40:00Z</dcterms:created>
  <dcterms:modified xsi:type="dcterms:W3CDTF">2019-11-27T08:47:00Z</dcterms:modified>
</cp:coreProperties>
</file>