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3C" w:rsidRPr="006B583C" w:rsidRDefault="006B583C" w:rsidP="006B583C">
      <w:pPr>
        <w:ind w:left="2832" w:firstLine="708"/>
        <w:rPr>
          <w:rFonts w:ascii="Arial" w:hAnsi="Arial" w:cs="Arial"/>
          <w:b/>
          <w:sz w:val="28"/>
          <w:szCs w:val="28"/>
        </w:rPr>
      </w:pPr>
      <w:bookmarkStart w:id="0" w:name="_GoBack"/>
      <w:bookmarkEnd w:id="0"/>
      <w:r w:rsidRPr="006B583C">
        <w:rPr>
          <w:rFonts w:ascii="Arial" w:hAnsi="Arial" w:cs="Arial"/>
          <w:b/>
          <w:sz w:val="28"/>
          <w:szCs w:val="28"/>
        </w:rPr>
        <w:t>STANOWISKO</w:t>
      </w:r>
    </w:p>
    <w:p w:rsidR="006B583C" w:rsidRPr="006B583C" w:rsidRDefault="006B583C" w:rsidP="006B583C">
      <w:pPr>
        <w:jc w:val="center"/>
        <w:rPr>
          <w:rFonts w:ascii="Arial" w:hAnsi="Arial" w:cs="Arial"/>
          <w:b/>
          <w:sz w:val="28"/>
          <w:szCs w:val="28"/>
        </w:rPr>
      </w:pPr>
      <w:r w:rsidRPr="006B583C">
        <w:rPr>
          <w:rFonts w:ascii="Arial" w:hAnsi="Arial" w:cs="Arial"/>
          <w:b/>
          <w:sz w:val="28"/>
          <w:szCs w:val="28"/>
        </w:rPr>
        <w:t>KONWENTU MARSZAŁKÓW WOJEWÓDZTW RP</w:t>
      </w:r>
      <w:r w:rsidRPr="006B583C">
        <w:rPr>
          <w:rFonts w:ascii="Arial" w:hAnsi="Arial" w:cs="Arial"/>
          <w:b/>
          <w:sz w:val="28"/>
          <w:szCs w:val="28"/>
        </w:rPr>
        <w:t xml:space="preserve"> </w:t>
      </w:r>
      <w:r w:rsidRPr="006B583C">
        <w:rPr>
          <w:rFonts w:ascii="Arial" w:hAnsi="Arial" w:cs="Arial"/>
          <w:b/>
          <w:sz w:val="28"/>
          <w:szCs w:val="28"/>
        </w:rPr>
        <w:t xml:space="preserve">z dnia </w:t>
      </w:r>
      <w:r w:rsidRPr="006B583C">
        <w:rPr>
          <w:rFonts w:ascii="Arial" w:hAnsi="Arial" w:cs="Arial"/>
          <w:b/>
          <w:sz w:val="28"/>
          <w:szCs w:val="28"/>
        </w:rPr>
        <w:t>28 listopada</w:t>
      </w:r>
      <w:r w:rsidRPr="006B583C">
        <w:rPr>
          <w:rFonts w:ascii="Arial" w:hAnsi="Arial" w:cs="Arial"/>
          <w:b/>
          <w:sz w:val="28"/>
          <w:szCs w:val="28"/>
        </w:rPr>
        <w:t xml:space="preserve"> 2019 roku</w:t>
      </w:r>
    </w:p>
    <w:p w:rsidR="006B583C" w:rsidRPr="006B583C" w:rsidRDefault="006B583C" w:rsidP="006B583C">
      <w:pPr>
        <w:jc w:val="center"/>
        <w:rPr>
          <w:rFonts w:ascii="Arial" w:hAnsi="Arial" w:cs="Arial"/>
          <w:b/>
          <w:sz w:val="28"/>
          <w:szCs w:val="28"/>
        </w:rPr>
      </w:pPr>
      <w:r w:rsidRPr="006B583C">
        <w:rPr>
          <w:rFonts w:ascii="Arial" w:hAnsi="Arial" w:cs="Arial"/>
          <w:b/>
          <w:sz w:val="28"/>
          <w:szCs w:val="28"/>
        </w:rPr>
        <w:t>w sprawie wydłużenia terminu na podjęcie przez sejmiki województw uchwał w sprawie podziału województw na obwody łowieckie oraz zaliczenia obwodów łowieckich do kategorii</w:t>
      </w:r>
      <w:r w:rsidRPr="006B583C">
        <w:rPr>
          <w:rFonts w:ascii="Arial" w:hAnsi="Arial" w:cs="Arial"/>
          <w:b/>
          <w:sz w:val="28"/>
          <w:szCs w:val="28"/>
        </w:rPr>
        <w:t xml:space="preserve"> (opracowane przez woj. zachodniopomorskie)</w:t>
      </w:r>
      <w:r w:rsidRPr="006B583C">
        <w:rPr>
          <w:rFonts w:ascii="Arial" w:hAnsi="Arial" w:cs="Arial"/>
          <w:b/>
          <w:sz w:val="28"/>
          <w:szCs w:val="28"/>
        </w:rPr>
        <w:t xml:space="preserve"> </w:t>
      </w:r>
    </w:p>
    <w:p w:rsidR="006B583C" w:rsidRDefault="006B583C" w:rsidP="006B583C">
      <w:pPr>
        <w:jc w:val="center"/>
        <w:rPr>
          <w:rFonts w:ascii="Arial" w:hAnsi="Arial" w:cs="Arial"/>
          <w:b/>
          <w:sz w:val="20"/>
          <w:szCs w:val="20"/>
        </w:rPr>
      </w:pPr>
    </w:p>
    <w:p w:rsidR="006B583C" w:rsidRPr="006B583C" w:rsidRDefault="006B583C" w:rsidP="006B583C">
      <w:pPr>
        <w:jc w:val="both"/>
        <w:rPr>
          <w:rFonts w:ascii="Arial" w:hAnsi="Arial" w:cs="Arial"/>
        </w:rPr>
      </w:pPr>
      <w:r>
        <w:rPr>
          <w:rFonts w:ascii="Arial" w:hAnsi="Arial" w:cs="Arial"/>
          <w:sz w:val="20"/>
          <w:szCs w:val="20"/>
        </w:rPr>
        <w:t xml:space="preserve">      </w:t>
      </w:r>
      <w:r w:rsidRPr="006B583C">
        <w:rPr>
          <w:rFonts w:ascii="Arial" w:hAnsi="Arial" w:cs="Arial"/>
        </w:rPr>
        <w:t>W związku z realizacją zadań z zakresu administracji rządowej dotyczących gospodarki łowieckiej, realizowanych w oparciu o ustawę z dnia 13 paździ</w:t>
      </w:r>
      <w:r>
        <w:rPr>
          <w:rFonts w:ascii="Arial" w:hAnsi="Arial" w:cs="Arial"/>
        </w:rPr>
        <w:t xml:space="preserve">ernika 1995 r. Prawo łowieckie </w:t>
      </w:r>
      <w:r w:rsidRPr="006B583C">
        <w:rPr>
          <w:rFonts w:ascii="Arial" w:hAnsi="Arial" w:cs="Arial"/>
        </w:rPr>
        <w:t>(Dz.U. z 2018 r. poz. 2033 ze zm.) Konwentu Marszałków Województw RP przedstawia następujący postulat:</w:t>
      </w:r>
    </w:p>
    <w:p w:rsidR="006B583C" w:rsidRPr="006B583C" w:rsidRDefault="006B583C" w:rsidP="006B583C">
      <w:pPr>
        <w:jc w:val="both"/>
        <w:rPr>
          <w:rFonts w:ascii="Arial" w:hAnsi="Arial" w:cs="Arial"/>
        </w:rPr>
      </w:pPr>
      <w:r w:rsidRPr="006B583C">
        <w:rPr>
          <w:rFonts w:ascii="Arial" w:hAnsi="Arial" w:cs="Arial"/>
        </w:rPr>
        <w:tab/>
        <w:t>Ustawa z dnia 22 marca 2018 r. o zmianie ustawy – Prawo łowieckie oraz niektórych innych ustaw (Dz.U. z 2018 r. poz. 651) nakłada na marszałków województw obowiązek przygotowania projektów uchwał sejmików województw w sprawie podziału województw na obwody łowieckie oraz zaliczenia obwodów łowieckich do jednej z kategorii określonych w art. 26a ust. 1 ustawy Prawo łowieckie. Zasady określania kategorii obwodów łowieckich sprecyzowało rozporządzenie Ministra Środowiska z dnia 12 marca 2019 r. w sprawie wskaźników</w:t>
      </w:r>
      <w:r>
        <w:rPr>
          <w:rFonts w:ascii="Arial" w:hAnsi="Arial" w:cs="Arial"/>
        </w:rPr>
        <w:br/>
      </w:r>
      <w:r w:rsidRPr="006B583C">
        <w:rPr>
          <w:rFonts w:ascii="Arial" w:hAnsi="Arial" w:cs="Arial"/>
        </w:rPr>
        <w:t xml:space="preserve"> i czynników służących kategoryzacji obwodu łowieckiego, opublikowane 21 marca 2019 r. (Dz.U. z 2019 r. poz. 536).</w:t>
      </w:r>
    </w:p>
    <w:p w:rsidR="006B583C" w:rsidRPr="006B583C" w:rsidRDefault="006B583C" w:rsidP="006B583C">
      <w:pPr>
        <w:jc w:val="both"/>
        <w:rPr>
          <w:rFonts w:ascii="Arial" w:hAnsi="Arial" w:cs="Arial"/>
        </w:rPr>
      </w:pPr>
      <w:r w:rsidRPr="006B583C">
        <w:rPr>
          <w:rFonts w:ascii="Arial" w:hAnsi="Arial" w:cs="Arial"/>
        </w:rPr>
        <w:tab/>
        <w:t>Procedura przygotowania projektów uchwał sejmików województw w sprawie podziału województw na obwody łowieckie oraz zaliczenia obwodów łowie</w:t>
      </w:r>
      <w:r>
        <w:rPr>
          <w:rFonts w:ascii="Arial" w:hAnsi="Arial" w:cs="Arial"/>
        </w:rPr>
        <w:t xml:space="preserve">ckich </w:t>
      </w:r>
      <w:r>
        <w:rPr>
          <w:rFonts w:ascii="Arial" w:hAnsi="Arial" w:cs="Arial"/>
        </w:rPr>
        <w:br/>
        <w:t xml:space="preserve">do kategorii, wynikająca </w:t>
      </w:r>
      <w:r w:rsidRPr="006B583C">
        <w:rPr>
          <w:rFonts w:ascii="Arial" w:hAnsi="Arial" w:cs="Arial"/>
        </w:rPr>
        <w:t>z treści art. 27 ustawy Prawo łowieckie, wymaga kompleksowego geodezyjnego podziału województw na obwody łowieckie, uwzględniającego m.in. wyliczenie powierzchni poszczególnych obwodów łowieckich w rozbiciu na powiaty i gminy, powierzchni gruntów leśnych w rozbiciu na gminy  oraz:</w:t>
      </w:r>
    </w:p>
    <w:p w:rsidR="006B583C" w:rsidRPr="006B583C" w:rsidRDefault="006B583C" w:rsidP="006B583C">
      <w:pPr>
        <w:jc w:val="both"/>
        <w:rPr>
          <w:rFonts w:ascii="Arial" w:hAnsi="Arial" w:cs="Arial"/>
        </w:rPr>
      </w:pPr>
      <w:r w:rsidRPr="006B583C">
        <w:rPr>
          <w:rFonts w:ascii="Arial" w:hAnsi="Arial" w:cs="Arial"/>
        </w:rPr>
        <w:t>- uzyskanie do projektu uchwały opinii właściwych dyrektorów regionalnych dyrekcji Państwowego Gospodarstwa Leśnego Lasy Państwowe, właściwego miejscowo zarządu okręgowego Polskiego Związku Łowieckiego, właściwej izby rolniczej oraz ewentualne wprowadzenie zmian do projektu uchwały, wynikających z powyższych opinii,</w:t>
      </w:r>
    </w:p>
    <w:p w:rsidR="006B583C" w:rsidRPr="006B583C" w:rsidRDefault="006B583C" w:rsidP="006B583C">
      <w:pPr>
        <w:jc w:val="both"/>
        <w:rPr>
          <w:rFonts w:ascii="Arial" w:hAnsi="Arial" w:cs="Arial"/>
        </w:rPr>
      </w:pPr>
    </w:p>
    <w:p w:rsidR="006B583C" w:rsidRPr="006B583C" w:rsidRDefault="006B583C" w:rsidP="006B583C">
      <w:pPr>
        <w:jc w:val="both"/>
        <w:rPr>
          <w:rFonts w:ascii="Arial" w:hAnsi="Arial" w:cs="Arial"/>
        </w:rPr>
      </w:pPr>
      <w:r w:rsidRPr="006B583C">
        <w:rPr>
          <w:rFonts w:ascii="Arial" w:hAnsi="Arial" w:cs="Arial"/>
        </w:rPr>
        <w:t>- uzgodnienie projektu uchwały z właściwym miejscowo wojewodą oraz organami wojskowymi oraz ewentualne wprowadzenie zmian do projektu uchwały, wynikających z tych uzgodnień,</w:t>
      </w:r>
    </w:p>
    <w:p w:rsidR="006B583C" w:rsidRPr="006B583C" w:rsidRDefault="006B583C" w:rsidP="006B583C">
      <w:pPr>
        <w:jc w:val="both"/>
        <w:rPr>
          <w:rFonts w:ascii="Arial" w:hAnsi="Arial" w:cs="Arial"/>
        </w:rPr>
      </w:pPr>
      <w:r w:rsidRPr="006B583C">
        <w:rPr>
          <w:rFonts w:ascii="Arial" w:hAnsi="Arial" w:cs="Arial"/>
        </w:rPr>
        <w:t xml:space="preserve">- publikację projektu uchwały sejmiku na stronie internetowej urzędu marszałkowskiego oraz przez obwieszczenie, a także w sposób zwyczajowo przyjęty w poszczególnych gminach objętych projektem uchwały – za pośrednictwem właściwych wójtów (burmistrzów, prezydentów miast) – o sporządzeniu projektu uchwały oraz wyłożeniu jej do publicznego wglądu, w celu umożliwienia wniesienia uwag do projektu właścicielom i użytkownikom wieczystym nieruchomości objętych projektem, rozpatrzenia uwag do projektu  oraz wprowadzenia w projekcie zmian, </w:t>
      </w:r>
      <w:r>
        <w:rPr>
          <w:rFonts w:ascii="Arial" w:hAnsi="Arial" w:cs="Arial"/>
        </w:rPr>
        <w:br/>
      </w:r>
      <w:r w:rsidRPr="006B583C">
        <w:rPr>
          <w:rFonts w:ascii="Arial" w:hAnsi="Arial" w:cs="Arial"/>
        </w:rPr>
        <w:lastRenderedPageBreak/>
        <w:t xml:space="preserve">w szczególności poprzez oznaczenie na mapie przebiegu graficznego </w:t>
      </w:r>
      <w:proofErr w:type="spellStart"/>
      <w:r w:rsidRPr="006B583C">
        <w:rPr>
          <w:rFonts w:ascii="Arial" w:hAnsi="Arial" w:cs="Arial"/>
        </w:rPr>
        <w:t>wyłączeń</w:t>
      </w:r>
      <w:proofErr w:type="spellEnd"/>
      <w:r w:rsidRPr="006B583C">
        <w:rPr>
          <w:rFonts w:ascii="Arial" w:hAnsi="Arial" w:cs="Arial"/>
        </w:rPr>
        <w:t xml:space="preserve"> wynikających z uwag oraz powierzchni obwodu łowieckiego po uwzględnieniu tych </w:t>
      </w:r>
      <w:proofErr w:type="spellStart"/>
      <w:r w:rsidRPr="006B583C">
        <w:rPr>
          <w:rFonts w:ascii="Arial" w:hAnsi="Arial" w:cs="Arial"/>
        </w:rPr>
        <w:t>wyłączeń</w:t>
      </w:r>
      <w:proofErr w:type="spellEnd"/>
      <w:r w:rsidRPr="006B583C">
        <w:rPr>
          <w:rFonts w:ascii="Arial" w:hAnsi="Arial" w:cs="Arial"/>
        </w:rPr>
        <w:t xml:space="preserve">, </w:t>
      </w:r>
    </w:p>
    <w:p w:rsidR="006B583C" w:rsidRPr="006B583C" w:rsidRDefault="006B583C" w:rsidP="006B583C">
      <w:pPr>
        <w:jc w:val="both"/>
        <w:rPr>
          <w:rFonts w:ascii="Arial" w:hAnsi="Arial" w:cs="Arial"/>
        </w:rPr>
      </w:pPr>
      <w:r w:rsidRPr="006B583C">
        <w:rPr>
          <w:rFonts w:ascii="Arial" w:hAnsi="Arial" w:cs="Arial"/>
        </w:rPr>
        <w:t xml:space="preserve">- w przypadku wprowadzenia zmian w projekcie ponownego zasięgnięcia opinii właściwych dyrektorów regionalnych dyrekcji Państwowego Gospodarstwa Leśnego Lasy Państwowe, właściwego miejscowo zarządu okręgowego Polskiego Związku Łowieckiego i właściwej izby rolniczej oraz ponownego przeprowadzenia uzgodnień projektu z właściwym miejscowo wojewodą oraz organami wojskowymi </w:t>
      </w:r>
      <w:r>
        <w:rPr>
          <w:rFonts w:ascii="Arial" w:hAnsi="Arial" w:cs="Arial"/>
        </w:rPr>
        <w:br/>
      </w:r>
      <w:r w:rsidRPr="006B583C">
        <w:rPr>
          <w:rFonts w:ascii="Arial" w:hAnsi="Arial" w:cs="Arial"/>
        </w:rPr>
        <w:t>(w niezbędnym zakresie),</w:t>
      </w:r>
    </w:p>
    <w:p w:rsidR="006B583C" w:rsidRPr="006B583C" w:rsidRDefault="006B583C" w:rsidP="006B583C">
      <w:pPr>
        <w:jc w:val="both"/>
        <w:rPr>
          <w:rFonts w:ascii="Arial" w:hAnsi="Arial" w:cs="Arial"/>
        </w:rPr>
      </w:pPr>
      <w:r w:rsidRPr="006B583C">
        <w:rPr>
          <w:rFonts w:ascii="Arial" w:hAnsi="Arial" w:cs="Arial"/>
        </w:rPr>
        <w:t>- przedstawienia projektu uchwały sejmikowi województwa z zesta</w:t>
      </w:r>
      <w:r>
        <w:rPr>
          <w:rFonts w:ascii="Arial" w:hAnsi="Arial" w:cs="Arial"/>
        </w:rPr>
        <w:t xml:space="preserve">wieniem nieuwzględnionych uwag </w:t>
      </w:r>
      <w:r w:rsidRPr="006B583C">
        <w:rPr>
          <w:rFonts w:ascii="Arial" w:hAnsi="Arial" w:cs="Arial"/>
        </w:rPr>
        <w:t xml:space="preserve">i opinii, </w:t>
      </w:r>
    </w:p>
    <w:p w:rsidR="006B583C" w:rsidRPr="006B583C" w:rsidRDefault="006B583C" w:rsidP="006B583C">
      <w:pPr>
        <w:jc w:val="both"/>
        <w:rPr>
          <w:rFonts w:ascii="Arial" w:hAnsi="Arial" w:cs="Arial"/>
        </w:rPr>
      </w:pPr>
      <w:r w:rsidRPr="006B583C">
        <w:rPr>
          <w:rFonts w:ascii="Arial" w:hAnsi="Arial" w:cs="Arial"/>
        </w:rPr>
        <w:t xml:space="preserve">- przekazania przez sejmik województwa projektu uchwały do zaopiniowania przez zespół opiniodawczo – doradczy, powołany przez marszałka województwa, </w:t>
      </w:r>
    </w:p>
    <w:p w:rsidR="006B583C" w:rsidRPr="006B583C" w:rsidRDefault="006B583C" w:rsidP="006B583C">
      <w:pPr>
        <w:jc w:val="both"/>
        <w:rPr>
          <w:rFonts w:ascii="Arial" w:hAnsi="Arial" w:cs="Arial"/>
        </w:rPr>
      </w:pPr>
      <w:r w:rsidRPr="006B583C">
        <w:rPr>
          <w:rFonts w:ascii="Arial" w:hAnsi="Arial" w:cs="Arial"/>
        </w:rPr>
        <w:t xml:space="preserve">- podjęcia przez sejmik województwa uchwały, a tym samym rozstrzygnięcie o sposobie rozpatrzenia uwag do projektu uchwały nieuwzględnionych przez marszałka województwa. </w:t>
      </w:r>
    </w:p>
    <w:p w:rsidR="006B583C" w:rsidRPr="006B583C" w:rsidRDefault="006B583C" w:rsidP="006B583C">
      <w:pPr>
        <w:jc w:val="both"/>
        <w:rPr>
          <w:rFonts w:ascii="Arial" w:hAnsi="Arial" w:cs="Arial"/>
        </w:rPr>
      </w:pPr>
      <w:r w:rsidRPr="006B583C">
        <w:rPr>
          <w:rFonts w:ascii="Arial" w:hAnsi="Arial" w:cs="Arial"/>
        </w:rPr>
        <w:tab/>
        <w:t>Skomplikowana procedura oraz opóźnienie wynikające z daty publikacji rozporządzenia określającego zasady kategoryzacji obwodów łowieckich powodują, że dotrzymanie terminu przyjęcia przez sejmiki województw uchwał w sprawie podziału województw na obwody łowieckie, wynikającego z treści art. 7 ustawy z dnia 22 marca 2018 r. o zmianie ustawy – Prawo łowieckie oraz niektórych innych ustaw (Dz.U. z 2018 r. poz. 651) będzie bardzo trudne do wykonania, a niewykluczone że wręcz niemożliwe uwzględniając proces uzgadniania i opiniowania projektów tych uchwał. Przywołany powyżej przepis stanowi, iż podziały województw na obwody łowieckie oraz zaliczenia obwodów łowieckich do poszczególnych kategorii dokonane przed dniem wejścia w życie ustawy z dnia 22 marca 2018 r. zachowują ważność nie dłużej niż do dnia 31 marca 2020 r. Jak wynika z powyższego, nieprzyjęcie przez sejmiki województw uchwał w sprawie podziału województw na obwody łowieckie do 31 marca 2020 r. będzie skutkować zniesieniem obwodów łowieckich na terenie całego kraju, wstrzymaniem prowadzenia racjonalnej gospodarki łowieckiej, w tym gospodarowania populacjami zwierzyny powodującej zagrożenie rozprzestrzeniania się m.in. ASF i wścieklizny oraz powodującej znaczne szkody w uprawach i płodach rolnych a także koniecznością szacowania szkód i wypłaty odszkodowań za szkody wyrządzone w uprawach i płodach rolnych przez dziki, jelenie, daniele, sarny i łosie ze środków Skarbu Państwa.</w:t>
      </w:r>
    </w:p>
    <w:p w:rsidR="006B583C" w:rsidRDefault="006B583C" w:rsidP="006B583C">
      <w:pPr>
        <w:jc w:val="both"/>
        <w:rPr>
          <w:rFonts w:ascii="Arial" w:hAnsi="Arial" w:cs="Arial"/>
        </w:rPr>
      </w:pPr>
      <w:r w:rsidRPr="006B583C">
        <w:rPr>
          <w:rFonts w:ascii="Arial" w:hAnsi="Arial" w:cs="Arial"/>
        </w:rPr>
        <w:tab/>
        <w:t xml:space="preserve">Mając na uwadze powyższe Konwentu Marszałków Województw RP postuluje ustawową zmianę terminu przyjęcia przez sejmiki województw uchwał w sprawie podziału województw na obwody łowieckie oraz zaliczenia obwodów łowieckich </w:t>
      </w:r>
    </w:p>
    <w:p w:rsidR="006B583C" w:rsidRPr="006B583C" w:rsidRDefault="006B583C" w:rsidP="006B583C">
      <w:pPr>
        <w:jc w:val="both"/>
        <w:rPr>
          <w:rFonts w:ascii="Arial" w:hAnsi="Arial" w:cs="Arial"/>
        </w:rPr>
      </w:pPr>
      <w:r w:rsidRPr="006B583C">
        <w:rPr>
          <w:rFonts w:ascii="Arial" w:hAnsi="Arial" w:cs="Arial"/>
        </w:rPr>
        <w:t>do kategorii, wynikającego z treści art. 7 ustawy z dnia 22 marca 2018 r. o zmianie ustawy – Prawo łowiecki</w:t>
      </w:r>
      <w:r>
        <w:rPr>
          <w:rFonts w:ascii="Arial" w:hAnsi="Arial" w:cs="Arial"/>
        </w:rPr>
        <w:t xml:space="preserve">e oraz niektórych innych ustaw </w:t>
      </w:r>
      <w:r w:rsidRPr="006B583C">
        <w:rPr>
          <w:rFonts w:ascii="Arial" w:hAnsi="Arial" w:cs="Arial"/>
        </w:rPr>
        <w:t xml:space="preserve">(Dz.U. z 2018 r. poz. 651), </w:t>
      </w:r>
      <w:r>
        <w:rPr>
          <w:rFonts w:ascii="Arial" w:hAnsi="Arial" w:cs="Arial"/>
        </w:rPr>
        <w:br/>
      </w:r>
      <w:r w:rsidRPr="006B583C">
        <w:rPr>
          <w:rFonts w:ascii="Arial" w:hAnsi="Arial" w:cs="Arial"/>
        </w:rPr>
        <w:t>z dnia 31 marca 2020 r. na 31 marca 2</w:t>
      </w:r>
      <w:r>
        <w:rPr>
          <w:rFonts w:ascii="Arial" w:hAnsi="Arial" w:cs="Arial"/>
        </w:rPr>
        <w:t xml:space="preserve">021 r. Powyższa zmiana pozwoli </w:t>
      </w:r>
      <w:r w:rsidRPr="006B583C">
        <w:rPr>
          <w:rFonts w:ascii="Arial" w:hAnsi="Arial" w:cs="Arial"/>
        </w:rPr>
        <w:t xml:space="preserve">na dokonanie podziału województw na obwody łowieckie oraz </w:t>
      </w:r>
      <w:r>
        <w:rPr>
          <w:rFonts w:ascii="Arial" w:hAnsi="Arial" w:cs="Arial"/>
        </w:rPr>
        <w:t xml:space="preserve">zaliczenia obwodów łowieckich </w:t>
      </w:r>
      <w:r w:rsidRPr="006B583C">
        <w:rPr>
          <w:rFonts w:ascii="Arial" w:hAnsi="Arial" w:cs="Arial"/>
        </w:rPr>
        <w:t>do kategorii bez ryzyka wystąpienia wskazanych wyżej zagrożeń.</w:t>
      </w:r>
    </w:p>
    <w:p w:rsidR="00E673E9" w:rsidRPr="007213C4" w:rsidRDefault="00E673E9" w:rsidP="007213C4">
      <w:pPr>
        <w:tabs>
          <w:tab w:val="left" w:pos="3570"/>
        </w:tabs>
        <w:rPr>
          <w:rFonts w:ascii="Arial" w:hAnsi="Arial" w:cs="Arial"/>
        </w:rPr>
      </w:pPr>
    </w:p>
    <w:sectPr w:rsidR="00E673E9" w:rsidRPr="007213C4" w:rsidSect="00767FBE">
      <w:headerReference w:type="default" r:id="rId8"/>
      <w:footerReference w:type="default" r:id="rId9"/>
      <w:pgSz w:w="11906" w:h="16838"/>
      <w:pgMar w:top="1216" w:right="1417" w:bottom="1276" w:left="1417" w:header="567"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A1" w:rsidRDefault="000815A1" w:rsidP="008218AB">
      <w:r>
        <w:separator/>
      </w:r>
    </w:p>
  </w:endnote>
  <w:endnote w:type="continuationSeparator" w:id="0">
    <w:p w:rsidR="000815A1" w:rsidRDefault="000815A1" w:rsidP="008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0442E7" w:rsidP="00E65874">
    <w:pPr>
      <w:pStyle w:val="Stopka"/>
      <w:ind w:hanging="1276"/>
    </w:pPr>
    <w:r>
      <w:rPr>
        <w:noProof/>
        <w:lang w:eastAsia="pl-PL"/>
      </w:rPr>
      <w:drawing>
        <wp:inline distT="0" distB="0" distL="0" distR="0" wp14:anchorId="7D5FC485" wp14:editId="5E031432">
          <wp:extent cx="7358486" cy="400154"/>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konwent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8505" cy="4431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A1" w:rsidRDefault="000815A1" w:rsidP="008218AB">
      <w:r>
        <w:separator/>
      </w:r>
    </w:p>
  </w:footnote>
  <w:footnote w:type="continuationSeparator" w:id="0">
    <w:p w:rsidR="000815A1" w:rsidRDefault="000815A1" w:rsidP="0082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E4" w:rsidRDefault="000442E7" w:rsidP="008218AB">
    <w:pPr>
      <w:pStyle w:val="Nagwek"/>
      <w:ind w:hanging="1276"/>
    </w:pPr>
    <w:r>
      <w:rPr>
        <w:noProof/>
        <w:lang w:eastAsia="pl-PL"/>
      </w:rPr>
      <w:drawing>
        <wp:inline distT="0" distB="0" distL="0" distR="0" wp14:anchorId="004C5829" wp14:editId="0BDECCB4">
          <wp:extent cx="7346264" cy="1202814"/>
          <wp:effectExtent l="0" t="0" r="762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konwent nagłówe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9863" cy="1213227"/>
                  </a:xfrm>
                  <a:prstGeom prst="rect">
                    <a:avLst/>
                  </a:prstGeom>
                </pic:spPr>
              </pic:pic>
            </a:graphicData>
          </a:graphic>
        </wp:inline>
      </w:drawing>
    </w:r>
  </w:p>
  <w:p w:rsidR="008218AB" w:rsidRDefault="008218AB" w:rsidP="00C900E4">
    <w:pPr>
      <w:pStyle w:val="Nagwek"/>
      <w:ind w:hanging="1134"/>
    </w:pPr>
  </w:p>
  <w:p w:rsidR="008218AB" w:rsidRPr="00C900E4" w:rsidRDefault="008218AB" w:rsidP="00C900E4">
    <w:pPr>
      <w:pStyle w:val="Nagwek"/>
      <w:ind w:hanging="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AB"/>
    <w:rsid w:val="00004910"/>
    <w:rsid w:val="00004D7C"/>
    <w:rsid w:val="00005BB9"/>
    <w:rsid w:val="00031B0F"/>
    <w:rsid w:val="0003638C"/>
    <w:rsid w:val="000442E7"/>
    <w:rsid w:val="00044D3B"/>
    <w:rsid w:val="000815A1"/>
    <w:rsid w:val="000B6C36"/>
    <w:rsid w:val="00103282"/>
    <w:rsid w:val="001342F0"/>
    <w:rsid w:val="00140EA4"/>
    <w:rsid w:val="0016344D"/>
    <w:rsid w:val="0017593B"/>
    <w:rsid w:val="001908F1"/>
    <w:rsid w:val="001A77F2"/>
    <w:rsid w:val="001E7766"/>
    <w:rsid w:val="001F6A21"/>
    <w:rsid w:val="001F6B5B"/>
    <w:rsid w:val="00211820"/>
    <w:rsid w:val="0023035A"/>
    <w:rsid w:val="00232AD4"/>
    <w:rsid w:val="002505F4"/>
    <w:rsid w:val="002854A9"/>
    <w:rsid w:val="00295E8F"/>
    <w:rsid w:val="002B1C90"/>
    <w:rsid w:val="00326EB6"/>
    <w:rsid w:val="00337AD7"/>
    <w:rsid w:val="003523A5"/>
    <w:rsid w:val="003661F9"/>
    <w:rsid w:val="003971F6"/>
    <w:rsid w:val="003C465F"/>
    <w:rsid w:val="00447FEB"/>
    <w:rsid w:val="00492FE3"/>
    <w:rsid w:val="004E093D"/>
    <w:rsid w:val="00525B91"/>
    <w:rsid w:val="00540D3E"/>
    <w:rsid w:val="00577D79"/>
    <w:rsid w:val="00587106"/>
    <w:rsid w:val="00595BB2"/>
    <w:rsid w:val="005A7A4F"/>
    <w:rsid w:val="005E23EB"/>
    <w:rsid w:val="005E23FE"/>
    <w:rsid w:val="006018BE"/>
    <w:rsid w:val="006558E1"/>
    <w:rsid w:val="00663235"/>
    <w:rsid w:val="006671E6"/>
    <w:rsid w:val="006A1AEC"/>
    <w:rsid w:val="006B583C"/>
    <w:rsid w:val="006D2F00"/>
    <w:rsid w:val="006D6823"/>
    <w:rsid w:val="006D6B13"/>
    <w:rsid w:val="007169A9"/>
    <w:rsid w:val="007213C4"/>
    <w:rsid w:val="0075206E"/>
    <w:rsid w:val="00767FBE"/>
    <w:rsid w:val="0081663D"/>
    <w:rsid w:val="00817BF4"/>
    <w:rsid w:val="00821390"/>
    <w:rsid w:val="008218AB"/>
    <w:rsid w:val="00821CC5"/>
    <w:rsid w:val="00885EB8"/>
    <w:rsid w:val="00892C80"/>
    <w:rsid w:val="008E4A7A"/>
    <w:rsid w:val="008E635B"/>
    <w:rsid w:val="008E7FC4"/>
    <w:rsid w:val="00943688"/>
    <w:rsid w:val="009563E1"/>
    <w:rsid w:val="00974359"/>
    <w:rsid w:val="009A4C3B"/>
    <w:rsid w:val="009C54C1"/>
    <w:rsid w:val="00A5628D"/>
    <w:rsid w:val="00B10EFC"/>
    <w:rsid w:val="00BA1D61"/>
    <w:rsid w:val="00C6288C"/>
    <w:rsid w:val="00CA460F"/>
    <w:rsid w:val="00CA4B1A"/>
    <w:rsid w:val="00CB64E6"/>
    <w:rsid w:val="00CC66A1"/>
    <w:rsid w:val="00CC7260"/>
    <w:rsid w:val="00D05CDC"/>
    <w:rsid w:val="00D2634C"/>
    <w:rsid w:val="00D65A64"/>
    <w:rsid w:val="00E56846"/>
    <w:rsid w:val="00E673E9"/>
    <w:rsid w:val="00EA78C9"/>
    <w:rsid w:val="00ED0C44"/>
    <w:rsid w:val="00EF0A61"/>
    <w:rsid w:val="00EF5045"/>
    <w:rsid w:val="00F21DE5"/>
    <w:rsid w:val="00F63B12"/>
    <w:rsid w:val="00FC1038"/>
    <w:rsid w:val="00FF0491"/>
    <w:rsid w:val="00FF3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Tekstzastpczy">
    <w:name w:val="Placeholder Text"/>
    <w:basedOn w:val="Domylnaczcionkaakapitu"/>
    <w:uiPriority w:val="99"/>
    <w:semiHidden/>
    <w:rsid w:val="00ED0C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18A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8218AB"/>
    <w:pPr>
      <w:keepNext/>
      <w:ind w:right="-851"/>
      <w:outlineLvl w:val="0"/>
    </w:pPr>
    <w:rPr>
      <w:rFonts w:ascii="Arial" w:hAnsi="Arial" w:cs="Arial"/>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8AB"/>
    <w:rPr>
      <w:rFonts w:ascii="Arial" w:eastAsia="Times New Roman" w:hAnsi="Arial" w:cs="Arial"/>
      <w:b/>
      <w:sz w:val="28"/>
      <w:szCs w:val="28"/>
      <w:lang w:eastAsia="ar-SA"/>
    </w:rPr>
  </w:style>
  <w:style w:type="table" w:styleId="Tabela-Siatka">
    <w:name w:val="Table Grid"/>
    <w:basedOn w:val="Standardowy"/>
    <w:uiPriority w:val="39"/>
    <w:rsid w:val="00821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8218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8AB"/>
    <w:pPr>
      <w:tabs>
        <w:tab w:val="center" w:pos="4536"/>
        <w:tab w:val="right" w:pos="9072"/>
      </w:tabs>
    </w:pPr>
  </w:style>
  <w:style w:type="character" w:customStyle="1" w:styleId="NagwekZnak">
    <w:name w:val="Nagłówek Znak"/>
    <w:basedOn w:val="Domylnaczcionkaakapitu"/>
    <w:link w:val="Nagwek"/>
    <w:uiPriority w:val="99"/>
    <w:rsid w:val="008218AB"/>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218AB"/>
    <w:pPr>
      <w:tabs>
        <w:tab w:val="center" w:pos="4536"/>
        <w:tab w:val="right" w:pos="9072"/>
      </w:tabs>
    </w:pPr>
  </w:style>
  <w:style w:type="character" w:customStyle="1" w:styleId="StopkaZnak">
    <w:name w:val="Stopka Znak"/>
    <w:basedOn w:val="Domylnaczcionkaakapitu"/>
    <w:link w:val="Stopka"/>
    <w:uiPriority w:val="99"/>
    <w:rsid w:val="008218A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218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AB"/>
    <w:rPr>
      <w:rFonts w:ascii="Segoe UI" w:eastAsia="Times New Roman" w:hAnsi="Segoe UI" w:cs="Segoe UI"/>
      <w:sz w:val="18"/>
      <w:szCs w:val="18"/>
      <w:lang w:eastAsia="ar-SA"/>
    </w:rPr>
  </w:style>
  <w:style w:type="character" w:styleId="Tekstzastpczy">
    <w:name w:val="Placeholder Text"/>
    <w:basedOn w:val="Domylnaczcionkaakapitu"/>
    <w:uiPriority w:val="99"/>
    <w:semiHidden/>
    <w:rsid w:val="00ED0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B1AF-CFAA-469C-9183-B0D653E8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820</Words>
  <Characters>4925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Kędzierska</dc:creator>
  <cp:lastModifiedBy>Krzysztof Maliszewski</cp:lastModifiedBy>
  <cp:revision>6</cp:revision>
  <cp:lastPrinted>2019-11-27T08:26:00Z</cp:lastPrinted>
  <dcterms:created xsi:type="dcterms:W3CDTF">2019-10-22T09:47:00Z</dcterms:created>
  <dcterms:modified xsi:type="dcterms:W3CDTF">2019-11-27T08:27:00Z</dcterms:modified>
</cp:coreProperties>
</file>