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Default="00A3697C" w:rsidP="00045607">
      <w:r>
        <w:rPr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1C324C8" w14:textId="77777777" w:rsidR="00A3697C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Default="00661FAD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A1F2D87" w:rsidR="00A3697C" w:rsidRDefault="00661FAD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10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0922654D" w14:textId="77777777" w:rsidR="0064056C" w:rsidRDefault="0064056C" w:rsidP="00A3697C">
      <w:pPr>
        <w:spacing w:after="0" w:line="240" w:lineRule="auto"/>
        <w:jc w:val="both"/>
        <w:rPr>
          <w:rStyle w:val="Hipercze"/>
        </w:rPr>
      </w:pPr>
    </w:p>
    <w:p w14:paraId="2E5E44DA" w14:textId="77777777" w:rsidR="00A3697C" w:rsidRDefault="00A3697C" w:rsidP="00A3697C">
      <w:pPr>
        <w:spacing w:after="0" w:line="240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E13B79" w:rsidRDefault="00A3697C" w:rsidP="00E1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3B79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73533E27" w14:textId="77777777" w:rsidR="00A3697C" w:rsidRDefault="00A3697C" w:rsidP="00A36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77777777" w:rsidR="00A3697C" w:rsidRDefault="00A3697C" w:rsidP="00A3697C">
      <w:pPr>
        <w:shd w:val="clear" w:color="auto" w:fill="FFC000" w:themeFill="accent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1B5A413" w14:textId="359DD5F1" w:rsidR="00915B32" w:rsidRDefault="00915B32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  <w:r>
        <w:rPr>
          <w:rFonts w:ascii="Times New Roman" w:eastAsia="Yu Gothic Medium" w:hAnsi="Times New Roman" w:cs="Times New Roman"/>
          <w:b/>
          <w:sz w:val="24"/>
          <w:szCs w:val="24"/>
        </w:rPr>
        <w:tab/>
      </w:r>
    </w:p>
    <w:p w14:paraId="40643D3A" w14:textId="0E27B4E7" w:rsidR="00915B32" w:rsidRDefault="00915B32" w:rsidP="00915B3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651307">
        <w:rPr>
          <w:rFonts w:ascii="Times New Roman" w:eastAsia="Yu Gothic Medium" w:hAnsi="Times New Roman" w:cs="Times New Roman"/>
          <w:b/>
          <w:sz w:val="24"/>
          <w:szCs w:val="24"/>
        </w:rPr>
        <w:t>Komisja Europejska zatwierdza pierwszy pakiet planów strategicznych WPR</w:t>
      </w:r>
    </w:p>
    <w:p w14:paraId="1ABBA4BE" w14:textId="5D2767AF" w:rsidR="00915B32" w:rsidRPr="00915B32" w:rsidRDefault="00651307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Komisja Europejska </w:t>
      </w:r>
      <w:r w:rsidRPr="00651307">
        <w:rPr>
          <w:rFonts w:ascii="Times New Roman" w:hAnsi="Times New Roman" w:cs="Times New Roman"/>
          <w:sz w:val="24"/>
          <w:szCs w:val="24"/>
        </w:rPr>
        <w:t>zatwierdziła 31.08.2022 roku pierwszy pakiet planów strategicznych W</w:t>
      </w:r>
      <w:r>
        <w:rPr>
          <w:rFonts w:ascii="Times New Roman" w:hAnsi="Times New Roman" w:cs="Times New Roman"/>
          <w:sz w:val="24"/>
          <w:szCs w:val="24"/>
        </w:rPr>
        <w:t xml:space="preserve">spólnej </w:t>
      </w:r>
      <w:r w:rsidRPr="0065130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olityki </w:t>
      </w:r>
      <w:r w:rsidRPr="0065130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olnej</w:t>
      </w:r>
      <w:r w:rsidRPr="00651307">
        <w:rPr>
          <w:rFonts w:ascii="Times New Roman" w:hAnsi="Times New Roman" w:cs="Times New Roman"/>
          <w:sz w:val="24"/>
          <w:szCs w:val="24"/>
        </w:rPr>
        <w:t xml:space="preserve"> dla siedmiu krajów, w tym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B3234" w14:textId="13583E81" w:rsidR="00915B32" w:rsidRDefault="00915B32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1" w:name="_Hlk114646357"/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bookmarkEnd w:id="1"/>
    <w:p w14:paraId="3D25CF4B" w14:textId="62E57CFB" w:rsidR="00915B32" w:rsidRDefault="00651307" w:rsidP="00CD543F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007D62">
        <w:fldChar w:fldCharType="begin"/>
      </w:r>
      <w:r w:rsidRPr="00007D62">
        <w:rPr>
          <w:rFonts w:ascii="Times New Roman" w:hAnsi="Times New Roman" w:cs="Times New Roman"/>
          <w:sz w:val="24"/>
          <w:szCs w:val="24"/>
        </w:rPr>
        <w:instrText xml:space="preserve"> HYPERLINK "https://ec.europa.eu/commission/presscorner/detail/en/IP_22_5183" </w:instrText>
      </w:r>
      <w:r w:rsidRPr="00007D62">
        <w:fldChar w:fldCharType="separate"/>
      </w:r>
      <w:r w:rsidRPr="00007D62">
        <w:rPr>
          <w:rStyle w:val="Hipercze"/>
          <w:rFonts w:ascii="Times New Roman" w:hAnsi="Times New Roman" w:cs="Times New Roman"/>
          <w:sz w:val="24"/>
          <w:szCs w:val="24"/>
        </w:rPr>
        <w:t>https://ec.europa.eu/commission/presscorner/detail/en/IP_22_5183</w:t>
      </w:r>
      <w:r w:rsidRPr="00007D62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</w:p>
    <w:p w14:paraId="18F894EF" w14:textId="77777777" w:rsidR="00651307" w:rsidRDefault="00651307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2A1AA3D8" w14:textId="40A3AFEC" w:rsidR="00E82F43" w:rsidRDefault="0049127F" w:rsidP="00A1248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51307">
        <w:rPr>
          <w:rFonts w:ascii="Times New Roman" w:eastAsia="Yu Gothic Medium" w:hAnsi="Times New Roman" w:cs="Times New Roman"/>
          <w:b/>
          <w:sz w:val="24"/>
          <w:szCs w:val="24"/>
        </w:rPr>
        <w:t>Wspólne zasady monitorowania i oceny realizacji planów strategicznych WPR</w:t>
      </w:r>
    </w:p>
    <w:p w14:paraId="642CF1F7" w14:textId="4D854653" w:rsidR="00E82F43" w:rsidRDefault="00651307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7D62">
        <w:rPr>
          <w:rFonts w:ascii="Times New Roman" w:hAnsi="Times New Roman" w:cs="Times New Roman"/>
          <w:sz w:val="24"/>
          <w:szCs w:val="24"/>
        </w:rPr>
        <w:t>Komisja Europejska ustala jasne i wspólne zasady monitorowania i oceny realizacji planów strategicznych W</w:t>
      </w:r>
      <w:r>
        <w:rPr>
          <w:rFonts w:ascii="Times New Roman" w:hAnsi="Times New Roman" w:cs="Times New Roman"/>
          <w:sz w:val="24"/>
          <w:szCs w:val="24"/>
        </w:rPr>
        <w:t>spólnej Polityki Rolnej.</w:t>
      </w:r>
    </w:p>
    <w:p w14:paraId="5ADC2095" w14:textId="77777777" w:rsidR="00651307" w:rsidRDefault="00651307" w:rsidP="00651307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1DA81466" w14:textId="4073AF4B" w:rsidR="00E82F43" w:rsidRDefault="00661FAD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" w:history="1">
        <w:r w:rsidR="00651307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https://agriculture.ec.europa.eu/news/commission-sets-clear-and-common-rules-monitoring-and-evaluating-implementation-cap-strategic-plans-2022-09-12_en</w:t>
        </w:r>
      </w:hyperlink>
    </w:p>
    <w:p w14:paraId="31189DCC" w14:textId="186A74E0" w:rsidR="00653888" w:rsidRDefault="00653888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BC85CC7" w14:textId="00F833F9" w:rsidR="00653888" w:rsidRPr="00007D62" w:rsidRDefault="00661FAD" w:rsidP="0065388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E7B9E">
          <w:rPr>
            <w:rStyle w:val="Hipercze"/>
            <w:rFonts w:ascii="Times New Roman" w:hAnsi="Times New Roman" w:cs="Times New Roman"/>
            <w:sz w:val="24"/>
            <w:szCs w:val="24"/>
          </w:rPr>
          <w:t>Rozporządzenie</w:t>
        </w:r>
      </w:hyperlink>
      <w:r w:rsidR="00DE7B9E">
        <w:rPr>
          <w:rStyle w:val="Hipercze"/>
          <w:rFonts w:ascii="Times New Roman" w:hAnsi="Times New Roman" w:cs="Times New Roman"/>
          <w:sz w:val="24"/>
          <w:szCs w:val="24"/>
        </w:rPr>
        <w:t xml:space="preserve"> wykonawcze</w:t>
      </w:r>
      <w:r w:rsidR="00653888" w:rsidRPr="00007D62">
        <w:rPr>
          <w:rFonts w:ascii="Times New Roman" w:hAnsi="Times New Roman" w:cs="Times New Roman"/>
          <w:sz w:val="24"/>
          <w:szCs w:val="24"/>
        </w:rPr>
        <w:t xml:space="preserve"> Komisji Europejskiej z dnia 6 września 2022 roku, ustanawiające szczegółowe zasady wdrażania rozporządzenia Parlamentu Europejskiego i Rady (UE) 2021/2115 w odniesieniu do ewaluacji planów strategicznych WPR oraz dostarczania informacji na potrzeby monitorowania i ewaluacji.</w:t>
      </w:r>
    </w:p>
    <w:p w14:paraId="7FBCF4B0" w14:textId="2D92E85B" w:rsidR="00651307" w:rsidRDefault="00651307" w:rsidP="0065130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="00FD48B9">
        <w:rPr>
          <w:rFonts w:ascii="Times New Roman" w:eastAsia="Yu Gothic Medium" w:hAnsi="Times New Roman" w:cs="Times New Roman"/>
          <w:b/>
          <w:sz w:val="24"/>
          <w:szCs w:val="24"/>
        </w:rPr>
        <w:t>Produkcja zbóż - krótkoterminowe odstępstwo od niektórych zasad polityki rolnej</w:t>
      </w:r>
    </w:p>
    <w:p w14:paraId="36806C9E" w14:textId="452BC689" w:rsidR="00FD48B9" w:rsidRDefault="00FD48B9" w:rsidP="00FD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>Komisja Europejska proponuje tymczasowe</w:t>
      </w:r>
      <w:r w:rsidR="00E827C8">
        <w:rPr>
          <w:rFonts w:ascii="Times New Roman" w:hAnsi="Times New Roman" w:cs="Times New Roman"/>
          <w:sz w:val="24"/>
          <w:szCs w:val="24"/>
        </w:rPr>
        <w:t>,</w:t>
      </w:r>
      <w:r w:rsidRPr="00007D62">
        <w:rPr>
          <w:rFonts w:ascii="Times New Roman" w:hAnsi="Times New Roman" w:cs="Times New Roman"/>
          <w:sz w:val="24"/>
          <w:szCs w:val="24"/>
        </w:rPr>
        <w:t xml:space="preserve"> krótkoterminowe odstępstwo od niektórych zasad polityki rolnej w celu zwiększenia produkcji zbóż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994BE" w14:textId="30D84E4F" w:rsidR="00FD48B9" w:rsidRDefault="00FD48B9" w:rsidP="00FD48B9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7540F6E0" w14:textId="22FB8A79" w:rsidR="00FD48B9" w:rsidRDefault="00661FAD" w:rsidP="00FD48B9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" w:history="1">
        <w:r w:rsidR="00FD48B9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https://ec.europa.eu/commission/presscorner/detail/en/IP_22_4668</w:t>
        </w:r>
      </w:hyperlink>
      <w:r w:rsidR="00FD48B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26FC06B8" w14:textId="2D9A949D" w:rsidR="00307F75" w:rsidRDefault="00307F75" w:rsidP="00FD48B9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8AC8198" w14:textId="266DFEEE" w:rsidR="00307F75" w:rsidRDefault="00307F75" w:rsidP="00307F7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Pomoc państwa – Komisja Europejska zatwierdza zmiany do polskiego programu wspierania firm w kontekście wojny na Ukrainie</w:t>
      </w:r>
    </w:p>
    <w:p w14:paraId="0E6CE91A" w14:textId="26FFFCA1" w:rsidR="00307F75" w:rsidRPr="00007D62" w:rsidRDefault="00307F75" w:rsidP="00307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 xml:space="preserve">Komisja Europejska zatwierdziła zmiany do istniejącego polskiego programu wspierania firm z różnych sektorów w kontekście </w:t>
      </w:r>
      <w:r w:rsidR="002E5B64">
        <w:rPr>
          <w:rFonts w:ascii="Times New Roman" w:hAnsi="Times New Roman" w:cs="Times New Roman"/>
          <w:sz w:val="24"/>
          <w:szCs w:val="24"/>
        </w:rPr>
        <w:t>wojny na Ukrainie</w:t>
      </w:r>
      <w:r w:rsidRPr="00007D62">
        <w:rPr>
          <w:rFonts w:ascii="Times New Roman" w:hAnsi="Times New Roman" w:cs="Times New Roman"/>
          <w:sz w:val="24"/>
          <w:szCs w:val="24"/>
        </w:rPr>
        <w:t xml:space="preserve">. Zmiany zostały zatwierdzone w obrębie tymczasowych ram kryzysowych, przewidujących m.in. ograniczone kwoty pomocy dla przedsiębiorców z sektora rolnictwa. </w:t>
      </w:r>
    </w:p>
    <w:p w14:paraId="0A998EFF" w14:textId="77777777" w:rsidR="00307F75" w:rsidRDefault="00307F75" w:rsidP="00307F75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1E4427B9" w14:textId="387B76BF" w:rsidR="00307F75" w:rsidRDefault="00661FAD" w:rsidP="00307F75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" w:history="1">
        <w:r w:rsidR="00307F75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https://ec.europa.eu/commission/presscorner/detail/en/ip_22_4944</w:t>
        </w:r>
      </w:hyperlink>
    </w:p>
    <w:p w14:paraId="7387622A" w14:textId="2BCDCADD" w:rsidR="00304EFE" w:rsidRDefault="00304EFE" w:rsidP="00307F75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0EC3F74" w14:textId="524AFD56" w:rsidR="00304EFE" w:rsidRDefault="00304EFE" w:rsidP="00307F75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1E5AEED" w14:textId="77777777" w:rsidR="00304EFE" w:rsidRDefault="00304EFE" w:rsidP="00307F75">
      <w:pPr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4412BBA" w14:textId="77777777" w:rsidR="00E827C8" w:rsidRDefault="00E827C8" w:rsidP="00307F75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39FCE506" w14:textId="37B4B222" w:rsidR="00E827C8" w:rsidRDefault="00E827C8" w:rsidP="00307F7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V. </w:t>
      </w:r>
      <w:r w:rsidR="00307F75">
        <w:rPr>
          <w:rFonts w:ascii="Times New Roman" w:eastAsia="Yu Gothic Medium" w:hAnsi="Times New Roman" w:cs="Times New Roman"/>
          <w:b/>
          <w:sz w:val="24"/>
          <w:szCs w:val="24"/>
        </w:rPr>
        <w:t>Wyniki badania dotyczącego obciążeń w roku 2021</w:t>
      </w:r>
    </w:p>
    <w:p w14:paraId="3B3323B8" w14:textId="52267EE2" w:rsidR="00307F75" w:rsidRDefault="00307F75" w:rsidP="00307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>Komisja Europejska opublikowała coroczne badanie dotyczące obciążeń w roku 2021, które przedstawia przykłady uproszczenia legislacji m.in. w takich obszarach, jak rolnictwo i rozwój obszarów wiejskich oraz bezpieczeństwo żywności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1343B" w14:textId="77777777" w:rsidR="00307F75" w:rsidRDefault="00307F75" w:rsidP="00307F75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29DE856F" w14:textId="437FCAE5" w:rsidR="00307F75" w:rsidRDefault="00661FAD" w:rsidP="00307F7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" w:history="1">
        <w:r w:rsidR="00307F75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https://ec.europa.eu/commission/presscorner/detail/en/ip_22_4745</w:t>
        </w:r>
      </w:hyperlink>
    </w:p>
    <w:p w14:paraId="18977A73" w14:textId="06415DA8" w:rsidR="00307F75" w:rsidRDefault="00307F75" w:rsidP="00307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D9F0" w14:textId="4DE464CB" w:rsidR="00304EFE" w:rsidRDefault="00304EFE" w:rsidP="00304EF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VI. 8. Program działań w zakresie środowiska</w:t>
      </w:r>
    </w:p>
    <w:p w14:paraId="14B29B46" w14:textId="1E9AA959" w:rsidR="00307F75" w:rsidRDefault="00304EFE" w:rsidP="00307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Europejska </w:t>
      </w:r>
      <w:r w:rsidR="003D1920">
        <w:rPr>
          <w:rFonts w:ascii="Times New Roman" w:hAnsi="Times New Roman" w:cs="Times New Roman"/>
          <w:sz w:val="24"/>
          <w:szCs w:val="24"/>
        </w:rPr>
        <w:t>zapowiada</w:t>
      </w:r>
      <w:r>
        <w:rPr>
          <w:rFonts w:ascii="Times New Roman" w:hAnsi="Times New Roman" w:cs="Times New Roman"/>
          <w:sz w:val="24"/>
          <w:szCs w:val="24"/>
        </w:rPr>
        <w:t xml:space="preserve"> pomiar</w:t>
      </w:r>
      <w:r w:rsidR="003D192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postępów w realizacji celów Europejskiego Zielonego Ładu w zakresie środowiska naturalnego i zmian klimatycznych.</w:t>
      </w:r>
    </w:p>
    <w:p w14:paraId="10E32A14" w14:textId="77777777" w:rsidR="00304EFE" w:rsidRDefault="00304EFE" w:rsidP="00304EFE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7D9D404D" w14:textId="16E9F198" w:rsidR="00304EFE" w:rsidRDefault="00661FAD" w:rsidP="00307F7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6" w:history="1">
        <w:r w:rsidR="00304EFE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https://ec.europa.eu/commission/presscorner/detail/pl/ip_22_4667</w:t>
        </w:r>
      </w:hyperlink>
    </w:p>
    <w:p w14:paraId="27E6181B" w14:textId="41378D04" w:rsidR="00304EFE" w:rsidRDefault="00304EFE" w:rsidP="00307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F094F" w14:textId="3BB271DC" w:rsidR="00304EFE" w:rsidRDefault="00304EFE" w:rsidP="00304EF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VII. </w:t>
      </w:r>
      <w:r w:rsidR="00406277">
        <w:rPr>
          <w:rFonts w:ascii="Times New Roman" w:eastAsia="Yu Gothic Medium" w:hAnsi="Times New Roman" w:cs="Times New Roman"/>
          <w:b/>
          <w:sz w:val="24"/>
          <w:szCs w:val="24"/>
        </w:rPr>
        <w:t>Najnowsze informacje dotyczące zmian w handlu produktami rolno-spożywczymi</w:t>
      </w:r>
    </w:p>
    <w:p w14:paraId="0B2997B1" w14:textId="4C429EFF" w:rsidR="00304EFE" w:rsidRDefault="00406277" w:rsidP="00307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872651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 najnowszymi informacjami Komisji Europejskiej na temat zmian w handlu produktami rolno-spożywczymi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94F9CF" w14:textId="77777777" w:rsidR="00406277" w:rsidRDefault="00406277" w:rsidP="00406277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4D0DCE6C" w14:textId="0B709876" w:rsidR="00406277" w:rsidRDefault="00661FAD" w:rsidP="00C8595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7" w:history="1">
        <w:r w:rsidR="00406277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https://agriculture.ec.europa.eu/news/notable-developments-eu-agri-food-trade-amid-global-uncertainties-2022-07-28_en</w:t>
        </w:r>
      </w:hyperlink>
    </w:p>
    <w:p w14:paraId="79959073" w14:textId="2A29031F" w:rsidR="0081451C" w:rsidRDefault="0081451C" w:rsidP="00C8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31F5" w14:textId="70118EF4" w:rsidR="0081451C" w:rsidRDefault="0081451C" w:rsidP="0081451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VIII. Najnowsze prognozy krótkoterminowe dla rynków rolnych Unii Europejskiej</w:t>
      </w:r>
    </w:p>
    <w:p w14:paraId="3C21AA51" w14:textId="0E0496FA" w:rsidR="0081451C" w:rsidRDefault="0081451C" w:rsidP="00814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7D62">
        <w:rPr>
          <w:rFonts w:ascii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7D62">
        <w:rPr>
          <w:rFonts w:ascii="Times New Roman" w:hAnsi="Times New Roman" w:cs="Times New Roman"/>
          <w:sz w:val="24"/>
          <w:szCs w:val="24"/>
        </w:rPr>
        <w:t>uropejska publikuje najnowsze krótkoterminowe prognozy dla rynków rolnych UE w obliczu globalnych obaw o bezpieczeństwo żywnościowe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AE5E7" w14:textId="77777777" w:rsidR="0081451C" w:rsidRDefault="0081451C" w:rsidP="0081451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42971A8D" w14:textId="5E75DA73" w:rsidR="0081451C" w:rsidRPr="00007D62" w:rsidRDefault="00661FAD" w:rsidP="00C8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1451C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https://agriculture.ec.europa.eu/news/european-commission-publishes-its-latest-short-term-outlook-eu-agricultural-markets-amidst-global-2022-07-07_en</w:t>
        </w:r>
      </w:hyperlink>
    </w:p>
    <w:p w14:paraId="0AD9C893" w14:textId="77777777" w:rsidR="00C8595B" w:rsidRDefault="00C8595B" w:rsidP="00C8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05DEE" w14:textId="230D7C76" w:rsidR="00C8595B" w:rsidRDefault="0081451C" w:rsidP="00C8595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C8595B">
        <w:rPr>
          <w:rFonts w:ascii="Times New Roman" w:eastAsia="Yu Gothic Medium" w:hAnsi="Times New Roman" w:cs="Times New Roman"/>
          <w:b/>
          <w:sz w:val="24"/>
          <w:szCs w:val="24"/>
        </w:rPr>
        <w:t>. Nowa inicjatywa obywatelska na rzecz ochrony dziedzictwa obszarów wiejskich</w:t>
      </w:r>
    </w:p>
    <w:p w14:paraId="449E601B" w14:textId="19D5ECB7" w:rsidR="00C8595B" w:rsidRDefault="00C8595B" w:rsidP="0080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 xml:space="preserve">Komisja Europejska zarejestrowała nową inicjatywę obywatelską </w:t>
      </w:r>
      <w:r>
        <w:rPr>
          <w:rFonts w:ascii="Times New Roman" w:hAnsi="Times New Roman" w:cs="Times New Roman"/>
          <w:sz w:val="24"/>
          <w:szCs w:val="24"/>
        </w:rPr>
        <w:t>na rzecz</w:t>
      </w:r>
      <w:r w:rsidRPr="00007D62">
        <w:rPr>
          <w:rFonts w:ascii="Times New Roman" w:hAnsi="Times New Roman" w:cs="Times New Roman"/>
          <w:sz w:val="24"/>
          <w:szCs w:val="24"/>
        </w:rPr>
        <w:t xml:space="preserve"> ochrony dziedzictwa obszarów wiejskich, której organizatorzy wzywają UE m.in. do odnowienia zobowiązania promowania regionalnego dziedzictwa, zrównoważonego rozwoju obszarów wiejskich, podnoszenia standardu życia lokalnych społeczności, a także poszanowanie tradycyjnego przemysłu rzemieślniczego i uznania bezpieczeństwa żywnościowego i produktów rolnych.</w:t>
      </w:r>
    </w:p>
    <w:p w14:paraId="3E1A636E" w14:textId="77777777" w:rsidR="00801477" w:rsidRDefault="00801477" w:rsidP="00801477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3EE6FA3A" w14:textId="6CFDB86F" w:rsidR="00801477" w:rsidRPr="00007D62" w:rsidRDefault="00661FAD" w:rsidP="00FD48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01477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https://ec.europa.eu/commission/presscorner/detail/en/ip_22_5352</w:t>
        </w:r>
      </w:hyperlink>
    </w:p>
    <w:p w14:paraId="6308F1F2" w14:textId="7241A377" w:rsidR="00E155CE" w:rsidRDefault="00E155CE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bookmarkEnd w:id="0"/>
    <w:p w14:paraId="5C6C015A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367CB509" w14:textId="77777777" w:rsidR="00A3697C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C00EE40" w14:textId="3B14FB34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21429">
        <w:rPr>
          <w:rFonts w:ascii="Times New Roman" w:eastAsia="Yu Gothic Medium" w:hAnsi="Times New Roman" w:cs="Times New Roman"/>
          <w:b/>
          <w:sz w:val="24"/>
          <w:szCs w:val="24"/>
        </w:rPr>
        <w:t>Cyfrowe rozwiązania na rzecz bardziej ekologicznej Europy</w:t>
      </w:r>
    </w:p>
    <w:p w14:paraId="1FCFDC49" w14:textId="7E49D038" w:rsidR="00721429" w:rsidRPr="00007D62" w:rsidRDefault="00721429" w:rsidP="00721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872651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 artykułem na temat cyfrowych rozwiązań na rzecz bardziej ekologicznej Europy, obejmujących m.in. precyzyjne narzędzia cyfrowe wspierające wydajność gospodarstw oraz ograniczanie emisji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FD3ED" w14:textId="2EF5C20C" w:rsidR="00A3697C" w:rsidRDefault="00A3697C" w:rsidP="00721429">
      <w:pPr>
        <w:tabs>
          <w:tab w:val="left" w:pos="1440"/>
        </w:tabs>
        <w:spacing w:after="0" w:line="240" w:lineRule="auto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3DE9A992" w14:textId="28BEFBAD" w:rsidR="00961A66" w:rsidRDefault="00661FAD" w:rsidP="00A3697C">
      <w:pPr>
        <w:tabs>
          <w:tab w:val="left" w:pos="7488"/>
        </w:tabs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20" w:history="1">
        <w:r w:rsidR="00721429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https://joint-research-centre.ec.europa.eu/jrc-news/5-digital-solutions-greener-europe-2022-07-05_en</w:t>
        </w:r>
      </w:hyperlink>
      <w:r w:rsidR="0072142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41C9DB9D" w14:textId="77777777" w:rsidR="00721429" w:rsidRDefault="00721429" w:rsidP="00A3697C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F5F50" w14:textId="2C791DF0" w:rsidR="00290123" w:rsidRPr="00290123" w:rsidRDefault="00A3697C" w:rsidP="0072142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721429">
        <w:rPr>
          <w:rFonts w:ascii="Times New Roman" w:eastAsia="Yu Gothic Medium" w:hAnsi="Times New Roman" w:cs="Times New Roman"/>
          <w:b/>
          <w:sz w:val="24"/>
          <w:szCs w:val="24"/>
        </w:rPr>
        <w:t>Najnowsze dane w zakresie monitorowania upraw w Europie</w:t>
      </w:r>
    </w:p>
    <w:p w14:paraId="42867A05" w14:textId="7ECAC201" w:rsidR="00290123" w:rsidRDefault="006A4474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 xml:space="preserve">Zapraszamy do zapoznania </w:t>
      </w:r>
      <w:r w:rsidR="00872651">
        <w:t xml:space="preserve">się </w:t>
      </w:r>
      <w:r>
        <w:t xml:space="preserve">z nowym wydaniem biuletynu JRC MARS </w:t>
      </w:r>
      <w:proofErr w:type="spellStart"/>
      <w:r>
        <w:t>Bulletin</w:t>
      </w:r>
      <w:proofErr w:type="spellEnd"/>
      <w:r>
        <w:t xml:space="preserve"> na temat stanu upraw w Europie.</w:t>
      </w:r>
    </w:p>
    <w:p w14:paraId="7E8A36F2" w14:textId="77777777" w:rsidR="006A4474" w:rsidRDefault="006A4474" w:rsidP="006A4474">
      <w:pPr>
        <w:tabs>
          <w:tab w:val="left" w:pos="1440"/>
        </w:tabs>
        <w:spacing w:after="0" w:line="240" w:lineRule="auto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Źródło:</w:t>
      </w:r>
    </w:p>
    <w:p w14:paraId="168A0309" w14:textId="3C6C338B" w:rsidR="006A4474" w:rsidRDefault="00661FA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21" w:history="1">
        <w:r w:rsidR="006A4474">
          <w:rPr>
            <w:rStyle w:val="Hipercze"/>
            <w:rFonts w:eastAsiaTheme="majorEastAsia"/>
          </w:rPr>
          <w:t xml:space="preserve">JRC Publications </w:t>
        </w:r>
        <w:proofErr w:type="spellStart"/>
        <w:r w:rsidR="006A4474">
          <w:rPr>
            <w:rStyle w:val="Hipercze"/>
            <w:rFonts w:eastAsiaTheme="majorEastAsia"/>
          </w:rPr>
          <w:t>Repository</w:t>
        </w:r>
        <w:proofErr w:type="spellEnd"/>
        <w:r w:rsidR="006A4474">
          <w:rPr>
            <w:rStyle w:val="Hipercze"/>
            <w:rFonts w:eastAsiaTheme="majorEastAsia"/>
          </w:rPr>
          <w:t xml:space="preserve"> - JRC MARS </w:t>
        </w:r>
        <w:proofErr w:type="spellStart"/>
        <w:r w:rsidR="006A4474">
          <w:rPr>
            <w:rStyle w:val="Hipercze"/>
            <w:rFonts w:eastAsiaTheme="majorEastAsia"/>
          </w:rPr>
          <w:t>Bulletin</w:t>
        </w:r>
        <w:proofErr w:type="spellEnd"/>
        <w:r w:rsidR="006A4474">
          <w:rPr>
            <w:rStyle w:val="Hipercze"/>
            <w:rFonts w:eastAsiaTheme="majorEastAsia"/>
          </w:rPr>
          <w:t xml:space="preserve"> - </w:t>
        </w:r>
        <w:proofErr w:type="spellStart"/>
        <w:r w:rsidR="006A4474">
          <w:rPr>
            <w:rStyle w:val="Hipercze"/>
            <w:rFonts w:eastAsiaTheme="majorEastAsia"/>
          </w:rPr>
          <w:t>Crop</w:t>
        </w:r>
        <w:proofErr w:type="spellEnd"/>
        <w:r w:rsidR="006A4474">
          <w:rPr>
            <w:rStyle w:val="Hipercze"/>
            <w:rFonts w:eastAsiaTheme="majorEastAsia"/>
          </w:rPr>
          <w:t xml:space="preserve"> monitoring in Europe - </w:t>
        </w:r>
        <w:proofErr w:type="spellStart"/>
        <w:r w:rsidR="006A4474">
          <w:rPr>
            <w:rStyle w:val="Hipercze"/>
            <w:rFonts w:eastAsiaTheme="majorEastAsia"/>
          </w:rPr>
          <w:t>September</w:t>
        </w:r>
        <w:proofErr w:type="spellEnd"/>
        <w:r w:rsidR="006A4474">
          <w:rPr>
            <w:rStyle w:val="Hipercze"/>
            <w:rFonts w:eastAsiaTheme="majorEastAsia"/>
          </w:rPr>
          <w:t xml:space="preserve"> 2022 Vol. 30 No 9 (europa.eu)</w:t>
        </w:r>
      </w:hyperlink>
    </w:p>
    <w:p w14:paraId="1E022B4C" w14:textId="5443C73E" w:rsidR="006A4474" w:rsidRDefault="006A4474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57F7828" w14:textId="4CA6EE4E" w:rsidR="006A4474" w:rsidRPr="00290123" w:rsidRDefault="006A4474" w:rsidP="006A447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III. Wyniki badań dotyczących przekazywania konsumentom informacji o żywności</w:t>
      </w:r>
    </w:p>
    <w:p w14:paraId="473F7E0C" w14:textId="37FC77BA" w:rsidR="006A4474" w:rsidRDefault="006A4474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 xml:space="preserve">Zapraszamy do zapoznania </w:t>
      </w:r>
      <w:r w:rsidR="00872651">
        <w:t xml:space="preserve">się </w:t>
      </w:r>
      <w:r>
        <w:t>z wynikami czterech badań przeprowadzonych przez Wspólne Centrum Badawcze dotyczących przekazywania informacji na temat żywności w kontekście dokonywania zrównoważonych wyborów konsumenckich.</w:t>
      </w:r>
    </w:p>
    <w:p w14:paraId="2B01C25E" w14:textId="77777777" w:rsidR="006A4474" w:rsidRDefault="006A4474" w:rsidP="006A4474">
      <w:pPr>
        <w:tabs>
          <w:tab w:val="left" w:pos="1440"/>
        </w:tabs>
        <w:spacing w:after="0" w:line="240" w:lineRule="auto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42496EA" w14:textId="3A110C42" w:rsidR="006A4474" w:rsidRDefault="00661FA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22" w:history="1">
        <w:proofErr w:type="spellStart"/>
        <w:r w:rsidR="006A4474">
          <w:rPr>
            <w:rStyle w:val="Hipercze"/>
            <w:rFonts w:eastAsiaTheme="majorEastAsia"/>
          </w:rPr>
          <w:t>Evidence</w:t>
        </w:r>
        <w:proofErr w:type="spellEnd"/>
        <w:r w:rsidR="006A4474">
          <w:rPr>
            <w:rStyle w:val="Hipercze"/>
            <w:rFonts w:eastAsiaTheme="majorEastAsia"/>
          </w:rPr>
          <w:t xml:space="preserve"> on food information – </w:t>
        </w:r>
        <w:proofErr w:type="spellStart"/>
        <w:r w:rsidR="006A4474">
          <w:rPr>
            <w:rStyle w:val="Hipercze"/>
            <w:rFonts w:eastAsiaTheme="majorEastAsia"/>
          </w:rPr>
          <w:t>Empowering</w:t>
        </w:r>
        <w:proofErr w:type="spellEnd"/>
        <w:r w:rsidR="006A4474">
          <w:rPr>
            <w:rStyle w:val="Hipercze"/>
            <w:rFonts w:eastAsiaTheme="majorEastAsia"/>
          </w:rPr>
          <w:t xml:space="preserve"> </w:t>
        </w:r>
        <w:proofErr w:type="spellStart"/>
        <w:r w:rsidR="006A4474">
          <w:rPr>
            <w:rStyle w:val="Hipercze"/>
            <w:rFonts w:eastAsiaTheme="majorEastAsia"/>
          </w:rPr>
          <w:t>consumers</w:t>
        </w:r>
        <w:proofErr w:type="spellEnd"/>
        <w:r w:rsidR="006A4474">
          <w:rPr>
            <w:rStyle w:val="Hipercze"/>
            <w:rFonts w:eastAsiaTheme="majorEastAsia"/>
          </w:rPr>
          <w:t xml:space="preserve"> to </w:t>
        </w:r>
        <w:proofErr w:type="spellStart"/>
        <w:r w:rsidR="006A4474">
          <w:rPr>
            <w:rStyle w:val="Hipercze"/>
            <w:rFonts w:eastAsiaTheme="majorEastAsia"/>
          </w:rPr>
          <w:t>make</w:t>
        </w:r>
        <w:proofErr w:type="spellEnd"/>
        <w:r w:rsidR="006A4474">
          <w:rPr>
            <w:rStyle w:val="Hipercze"/>
            <w:rFonts w:eastAsiaTheme="majorEastAsia"/>
          </w:rPr>
          <w:t xml:space="preserve"> </w:t>
        </w:r>
        <w:proofErr w:type="spellStart"/>
        <w:r w:rsidR="006A4474">
          <w:rPr>
            <w:rStyle w:val="Hipercze"/>
            <w:rFonts w:eastAsiaTheme="majorEastAsia"/>
          </w:rPr>
          <w:t>healthy</w:t>
        </w:r>
        <w:proofErr w:type="spellEnd"/>
        <w:r w:rsidR="006A4474">
          <w:rPr>
            <w:rStyle w:val="Hipercze"/>
            <w:rFonts w:eastAsiaTheme="majorEastAsia"/>
          </w:rPr>
          <w:t xml:space="preserve"> and sustainable choices (europa.eu)</w:t>
        </w:r>
      </w:hyperlink>
    </w:p>
    <w:p w14:paraId="3B100A9B" w14:textId="7173B2D9" w:rsidR="006A4474" w:rsidRDefault="006A4474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75BA921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598C46A0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</w:t>
      </w:r>
      <w:r w:rsidR="00872651">
        <w:t xml:space="preserve"> się</w:t>
      </w:r>
      <w:r>
        <w:t xml:space="preserve"> i śledzenia najnowszych danych rynkowych dotyczących rolnictwa krajowego i europejskiego (import, eksport, ceny, produkcja, programy pomocy).</w:t>
      </w:r>
    </w:p>
    <w:p w14:paraId="0A7B4215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informacji:</w:t>
      </w:r>
    </w:p>
    <w:p w14:paraId="35A2D98D" w14:textId="77777777" w:rsidR="00A3697C" w:rsidRDefault="00661FA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23" w:history="1">
        <w:r w:rsidR="00A3697C">
          <w:rPr>
            <w:rStyle w:val="Hipercze"/>
            <w:rFonts w:eastAsiaTheme="majorEastAsia"/>
          </w:rPr>
          <w:t>https://agridata.ec.europa.eu/extensions/DataPortal/agricultural_markets.html</w:t>
        </w:r>
      </w:hyperlink>
      <w:r w:rsidR="00A3697C">
        <w:t xml:space="preserve"> </w:t>
      </w:r>
    </w:p>
    <w:p w14:paraId="4380B95C" w14:textId="5F0594F1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62C6490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Prowadzony przez Urząd Publikacji Unii Europejskiej serwis CORDIS to publiczne repozytorium informacji dotyczących projektów przechowywanych przez Komisję Europejską.</w:t>
      </w:r>
    </w:p>
    <w:p w14:paraId="3E420309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57B54E7" w14:textId="74355839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Zapraszamy do zapoznania </w:t>
      </w:r>
      <w:r w:rsidR="00872651">
        <w:rPr>
          <w:b/>
        </w:rPr>
        <w:t xml:space="preserve">się </w:t>
      </w:r>
      <w:r>
        <w:rPr>
          <w:b/>
        </w:rPr>
        <w:t xml:space="preserve">z publikacjami, które ukazały się w okresie </w:t>
      </w:r>
      <w:r w:rsidR="00F1179E">
        <w:rPr>
          <w:b/>
        </w:rPr>
        <w:t>lipiec</w:t>
      </w:r>
      <w:r w:rsidR="00E45462">
        <w:rPr>
          <w:b/>
        </w:rPr>
        <w:t xml:space="preserve"> - </w:t>
      </w:r>
      <w:r w:rsidR="00F1179E">
        <w:rPr>
          <w:b/>
        </w:rPr>
        <w:t>wrzesień</w:t>
      </w:r>
      <w:r w:rsidR="00607224">
        <w:rPr>
          <w:b/>
        </w:rPr>
        <w:t xml:space="preserve"> 2022:</w:t>
      </w:r>
    </w:p>
    <w:p w14:paraId="6774D33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2A31ACB" w14:textId="182FA91B" w:rsidR="00464AA1" w:rsidRPr="00464AA1" w:rsidRDefault="00464AA1" w:rsidP="00087A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AA1">
        <w:rPr>
          <w:rFonts w:ascii="Times New Roman" w:hAnsi="Times New Roman" w:cs="Times New Roman"/>
          <w:i/>
          <w:sz w:val="24"/>
          <w:szCs w:val="24"/>
        </w:rPr>
        <w:t>Dlaczego szkodliwe dla środowiska praktyki rolnicze zmieniają się powoli?</w:t>
      </w:r>
    </w:p>
    <w:p w14:paraId="111B5377" w14:textId="5611EBB3" w:rsidR="005133B9" w:rsidRDefault="00661FAD" w:rsidP="00087A81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24" w:history="1">
        <w:r w:rsidR="00464AA1" w:rsidRPr="00007D62">
          <w:rPr>
            <w:rStyle w:val="Hipercze"/>
            <w:rFonts w:eastAsiaTheme="majorEastAsia"/>
          </w:rPr>
          <w:t>https://cordis.europa.eu/article/id/436685-why-environmentally-harmful-farming-practices-are-changing-so-slowly/pl</w:t>
        </w:r>
      </w:hyperlink>
      <w:r w:rsidR="00AF3D3C">
        <w:t xml:space="preserve"> </w:t>
      </w:r>
    </w:p>
    <w:p w14:paraId="0E2B7797" w14:textId="7DDAB510" w:rsidR="00AF3D3C" w:rsidRDefault="00AF3D3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A612A50" w14:textId="083E517F" w:rsidR="00464AA1" w:rsidRPr="00464AA1" w:rsidRDefault="00464AA1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64AA1">
        <w:rPr>
          <w:i/>
        </w:rPr>
        <w:t>Przyjazne dla klimatu paliwo ze słomy</w:t>
      </w:r>
    </w:p>
    <w:p w14:paraId="2BF192E0" w14:textId="39BACFA6" w:rsidR="005133B9" w:rsidRDefault="00661FA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25" w:history="1">
        <w:r w:rsidR="00464AA1" w:rsidRPr="00CE5254">
          <w:rPr>
            <w:rStyle w:val="Hipercze"/>
          </w:rPr>
          <w:t>https://cordis.europa.eu/article/id/436289-europe-s-fragmented-biodiversity-data-landscape-under-the-microscope/pl</w:t>
        </w:r>
      </w:hyperlink>
      <w:r w:rsidR="00F115EA">
        <w:t xml:space="preserve"> </w:t>
      </w:r>
      <w:r w:rsidR="00A02992">
        <w:t xml:space="preserve"> </w:t>
      </w:r>
    </w:p>
    <w:p w14:paraId="23F78144" w14:textId="1A894C31" w:rsidR="00E155CE" w:rsidRDefault="00E155CE" w:rsidP="00464AA1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6CD1EEC" w14:textId="21F70D24" w:rsidR="00464AA1" w:rsidRDefault="00464AA1" w:rsidP="00464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AA1">
        <w:rPr>
          <w:rFonts w:ascii="Times New Roman" w:hAnsi="Times New Roman" w:cs="Times New Roman"/>
          <w:i/>
          <w:sz w:val="24"/>
          <w:szCs w:val="24"/>
        </w:rPr>
        <w:t>Technologie robotyczne, które wspierają bardziej wydajne wytwarzanie produktów rolnych wyższej jakości, przynosząc jednocześnie korzyści dla środowiska</w:t>
      </w:r>
    </w:p>
    <w:p w14:paraId="1DBFD288" w14:textId="518D5602" w:rsidR="00464AA1" w:rsidRDefault="00661FAD" w:rsidP="00464AA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6" w:history="1">
        <w:r w:rsidR="00464AA1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https://cordis.europa.eu/article/id/441912-robots-help-farmers-say-goodbye-to-repetitive-tasks/pl</w:t>
        </w:r>
      </w:hyperlink>
    </w:p>
    <w:p w14:paraId="3629756D" w14:textId="6F8AA33F" w:rsidR="00464AA1" w:rsidRDefault="00464AA1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49312" w14:textId="0B8D785C" w:rsidR="00464AA1" w:rsidRPr="00464AA1" w:rsidRDefault="00464AA1" w:rsidP="00464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AA1">
        <w:rPr>
          <w:rFonts w:ascii="Times New Roman" w:hAnsi="Times New Roman" w:cs="Times New Roman"/>
          <w:i/>
          <w:sz w:val="24"/>
          <w:szCs w:val="24"/>
        </w:rPr>
        <w:t>W jaki sposób zmiana klimatu wpłynie na plony i ceny pszenicy?</w:t>
      </w:r>
    </w:p>
    <w:p w14:paraId="34A5A11F" w14:textId="681A894B" w:rsidR="00464AA1" w:rsidRDefault="00661FAD" w:rsidP="00464AA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7" w:history="1">
        <w:r w:rsidR="00464AA1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https://cordis.europa.eu/article/id/442076-how-will-climate-change-affect-the-yield-and-price-of-wheat/pl</w:t>
        </w:r>
      </w:hyperlink>
      <w:r w:rsidR="00464AA1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5D11FA81" w14:textId="15C41529" w:rsidR="00464AA1" w:rsidRDefault="00464AA1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680AE" w14:textId="4B0BB010" w:rsidR="00816DD1" w:rsidRDefault="00816DD1" w:rsidP="00816DD1">
      <w:pPr>
        <w:pStyle w:val="Nagwek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816DD1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Przełomowe technologie sposobem na zapewnienie przyszłości biopaliw drugiej generacji</w:t>
      </w:r>
    </w:p>
    <w:p w14:paraId="1A6E2218" w14:textId="769A327E" w:rsidR="00816DD1" w:rsidRPr="00920556" w:rsidRDefault="00661FAD" w:rsidP="00816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20556" w:rsidRPr="00920556">
          <w:rPr>
            <w:rStyle w:val="Hipercze"/>
            <w:rFonts w:ascii="Times New Roman" w:hAnsi="Times New Roman" w:cs="Times New Roman"/>
            <w:sz w:val="24"/>
            <w:szCs w:val="24"/>
          </w:rPr>
          <w:t>CORDIS | European Commission (europa.eu)</w:t>
        </w:r>
      </w:hyperlink>
    </w:p>
    <w:p w14:paraId="1E6C87C2" w14:textId="159BC438" w:rsidR="00464AA1" w:rsidRDefault="00464AA1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6FE5B" w14:textId="611A1361" w:rsidR="005F3FA8" w:rsidRDefault="005F3FA8" w:rsidP="005F3FA8">
      <w:pPr>
        <w:pStyle w:val="Nagwek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5F3FA8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Podejście do kwestii oczyszczania ścieków oparte na gospodarce o obiegu zamkniętym</w:t>
      </w:r>
    </w:p>
    <w:p w14:paraId="406665CD" w14:textId="2B0B41CA" w:rsidR="005F3FA8" w:rsidRPr="00A028E6" w:rsidRDefault="00661FAD" w:rsidP="005F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028E6" w:rsidRPr="00A028E6">
          <w:rPr>
            <w:rStyle w:val="Hipercze"/>
            <w:rFonts w:ascii="Times New Roman" w:hAnsi="Times New Roman" w:cs="Times New Roman"/>
            <w:sz w:val="24"/>
            <w:szCs w:val="24"/>
          </w:rPr>
          <w:t>https://cordis.europa.eu/article/id/442075-a-circular-economy-approach-for-waste-water-treatment</w:t>
        </w:r>
      </w:hyperlink>
      <w:r w:rsidR="00A028E6" w:rsidRPr="00A02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34E85" w14:textId="77777777" w:rsidR="00920556" w:rsidRPr="00464AA1" w:rsidRDefault="00920556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CB5AA" w14:textId="77777777" w:rsidR="00464AA1" w:rsidRPr="00464AA1" w:rsidRDefault="00464AA1" w:rsidP="00464AA1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B9D5036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PARLAMENT EUROPEJSKI</w:t>
      </w:r>
    </w:p>
    <w:p w14:paraId="2D1AE68F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Rolnictwa i Rozwoju Obszarów Wiejskich Parlamentu Europejskiego</w:t>
      </w:r>
    </w:p>
    <w:p w14:paraId="6CB5372F" w14:textId="6EE02A8D" w:rsidR="00763D80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0414A63A" w:rsidR="000B278E" w:rsidRDefault="00A03550" w:rsidP="000B27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D1065E">
        <w:rPr>
          <w:rFonts w:ascii="Times New Roman" w:eastAsia="Yu Gothic Medium" w:hAnsi="Times New Roman" w:cs="Times New Roman"/>
          <w:b/>
          <w:sz w:val="24"/>
          <w:szCs w:val="24"/>
        </w:rPr>
        <w:t xml:space="preserve"> Przyjęcie raportu o Strategii Leśnej UE do roku 2030</w:t>
      </w:r>
    </w:p>
    <w:p w14:paraId="1969474E" w14:textId="25AE3FB3" w:rsidR="00D1065E" w:rsidRDefault="00D1065E" w:rsidP="00D1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>Komisja przyjmuje raport o nowej strategii leśnej UE do roku 2030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6821C" w14:textId="77777777" w:rsidR="00D1065E" w:rsidRDefault="00D1065E" w:rsidP="00D106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F73F802" w14:textId="7F656FD3" w:rsidR="00D1065E" w:rsidRDefault="00661FAD" w:rsidP="00D1065E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0" w:history="1">
        <w:r w:rsidR="00D1065E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https://www.europarl.europa.eu/news/en/press-room/20220711IPR35027/a-new-eu-forest-strategy-for-2030-report-adopted-by-the-agriculture-committee</w:t>
        </w:r>
      </w:hyperlink>
    </w:p>
    <w:p w14:paraId="3C59F96E" w14:textId="2CF4709A" w:rsidR="00A03550" w:rsidRDefault="00A0355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E4AB9" w14:textId="6F780E8F" w:rsidR="00F44E7D" w:rsidRDefault="00F44E7D" w:rsidP="00F44E7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II. Zatwierdzenie porozumienia w sprawie statystyk nakładów i wyników produkcji rolnej</w:t>
      </w:r>
    </w:p>
    <w:p w14:paraId="2525538E" w14:textId="77777777" w:rsidR="00F44E7D" w:rsidRDefault="00F44E7D" w:rsidP="00F4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>Komisja zatwierdza porozumienie w sprawie statystyk nakładów i wyników produkcji rolnej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338D8" w14:textId="77777777" w:rsidR="00F44E7D" w:rsidRDefault="00F44E7D" w:rsidP="00F44E7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2AA8788F" w14:textId="77777777" w:rsidR="00F44E7D" w:rsidRDefault="00661FAD" w:rsidP="00F44E7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1" w:history="1">
        <w:r w:rsidR="00F44E7D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https://www.europarl.europa.eu/news/en/press-room/20220711IPR35026/agriculture-committee-endorses-deal-on-agricultural-input-and-output-statistics</w:t>
        </w:r>
      </w:hyperlink>
    </w:p>
    <w:p w14:paraId="576606C3" w14:textId="77777777" w:rsidR="00F44E7D" w:rsidRDefault="00F44E7D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BFD64" w14:textId="439D87CF" w:rsidR="003052BC" w:rsidRDefault="00A03550" w:rsidP="000B27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B032C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76222">
        <w:rPr>
          <w:rFonts w:ascii="Times New Roman" w:eastAsia="Yu Gothic Medium" w:hAnsi="Times New Roman" w:cs="Times New Roman"/>
          <w:b/>
          <w:sz w:val="24"/>
          <w:szCs w:val="24"/>
        </w:rPr>
        <w:t>Stanowisko Posłów do PE</w:t>
      </w:r>
      <w:r w:rsidR="00335BAB">
        <w:rPr>
          <w:rFonts w:ascii="Times New Roman" w:eastAsia="Yu Gothic Medium" w:hAnsi="Times New Roman" w:cs="Times New Roman"/>
          <w:b/>
          <w:sz w:val="24"/>
          <w:szCs w:val="24"/>
        </w:rPr>
        <w:t xml:space="preserve"> w sprawie zwiększenia wykorzystania odnawialnych źródeł energii</w:t>
      </w:r>
    </w:p>
    <w:p w14:paraId="5E6A20A6" w14:textId="1A0B3053" w:rsidR="00D02B36" w:rsidRDefault="00335BAB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>Posłowie do Parlamentu Europejskiego popierają zwiększenie wykorzystania odnawialnych źródeł energii oraz działań na rzecz jej oszczędności.</w:t>
      </w:r>
    </w:p>
    <w:p w14:paraId="4E0A26A1" w14:textId="77777777" w:rsidR="00335BAB" w:rsidRDefault="00335BAB" w:rsidP="00335BAB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3A49AB9B" w14:textId="7D8A748A" w:rsidR="00335BAB" w:rsidRDefault="00661FA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rStyle w:val="Hipercze"/>
          <w:rFonts w:eastAsiaTheme="majorEastAsia"/>
        </w:rPr>
      </w:pPr>
      <w:hyperlink r:id="rId32" w:history="1">
        <w:r w:rsidR="00335BAB" w:rsidRPr="00007D62">
          <w:rPr>
            <w:rStyle w:val="Hipercze"/>
            <w:rFonts w:eastAsiaTheme="majorEastAsia"/>
          </w:rPr>
          <w:t>https://www.europarl.europa.eu/news/pl/press-room/20220711IPR35006/meps-back-boost-for-renewables-use-and-energy-savings</w:t>
        </w:r>
      </w:hyperlink>
    </w:p>
    <w:p w14:paraId="43A5DFBF" w14:textId="26DFA1A8" w:rsidR="00335BAB" w:rsidRDefault="00335BAB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05923F1B" w14:textId="0C660A9B" w:rsidR="009C0F5A" w:rsidRDefault="009C0F5A" w:rsidP="009C0F5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Negocjacje dotyczące wniosku w sprawie ogólnego rozporządzenia w sprawie bezpieczeństwa produktów</w:t>
      </w:r>
    </w:p>
    <w:p w14:paraId="568BAC79" w14:textId="77777777" w:rsidR="009C0F5A" w:rsidRDefault="009C0F5A" w:rsidP="009C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2">
        <w:rPr>
          <w:rFonts w:ascii="Times New Roman" w:hAnsi="Times New Roman" w:cs="Times New Roman"/>
          <w:sz w:val="24"/>
          <w:szCs w:val="24"/>
        </w:rPr>
        <w:t xml:space="preserve">Parlament Europejski i Rada w </w:t>
      </w:r>
      <w:r w:rsidRPr="006431B8">
        <w:rPr>
          <w:rFonts w:ascii="Times New Roman" w:hAnsi="Times New Roman" w:cs="Times New Roman"/>
          <w:sz w:val="24"/>
          <w:szCs w:val="24"/>
        </w:rPr>
        <w:t xml:space="preserve">rozpoczęły negocjacje </w:t>
      </w:r>
      <w:r w:rsidRPr="00007D62">
        <w:rPr>
          <w:rFonts w:ascii="Times New Roman" w:hAnsi="Times New Roman" w:cs="Times New Roman"/>
          <w:sz w:val="24"/>
          <w:szCs w:val="24"/>
        </w:rPr>
        <w:t>dotyczące wniosku w sprawie ogólnego rozporządzenia w sprawie bezpieczeństwa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48A9A" w14:textId="77777777" w:rsidR="009C0F5A" w:rsidRDefault="009C0F5A" w:rsidP="009C0F5A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7261E51" w14:textId="77777777" w:rsidR="009C0F5A" w:rsidRDefault="00661FAD" w:rsidP="009C0F5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3" w:history="1">
        <w:r w:rsidR="009C0F5A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https://www.europarl.europa.eu/thinktank/en/document/EPRS_BRI(2021)698028</w:t>
        </w:r>
      </w:hyperlink>
    </w:p>
    <w:p w14:paraId="7A1B54D4" w14:textId="77777777" w:rsidR="009C0F5A" w:rsidRDefault="009C0F5A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3AB7EC88" w14:textId="404CE1F0" w:rsidR="00715AB1" w:rsidRDefault="009C0F5A" w:rsidP="00715AB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715AB1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EB17BC">
        <w:rPr>
          <w:rFonts w:ascii="Times New Roman" w:eastAsia="Yu Gothic Medium" w:hAnsi="Times New Roman" w:cs="Times New Roman"/>
          <w:b/>
          <w:sz w:val="24"/>
          <w:szCs w:val="24"/>
        </w:rPr>
        <w:t>System handlu uprawnieniami do emisji (ETS)</w:t>
      </w:r>
    </w:p>
    <w:p w14:paraId="16BBFA92" w14:textId="0FB28FBE" w:rsidR="00335BAB" w:rsidRDefault="00EB17BC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>Z</w:t>
      </w:r>
      <w:r w:rsidRPr="00007D62">
        <w:t>apraszamy do zapoznania z artykułem dotyczącym systemu handlu uprawnieniami do emisji (ETS), w tym Mechanizmu Dostosowania Granicy Emisji Dwutlenku Węgla (CBAM), który początkowo będzie miał zastosowania do importu w sektorach uważanych za najbardziej emisyjne, m.in. w sektorze nawozów</w:t>
      </w:r>
      <w:r>
        <w:t>.</w:t>
      </w:r>
    </w:p>
    <w:p w14:paraId="56E57A7C" w14:textId="77777777" w:rsidR="00EB17BC" w:rsidRDefault="00EB17BC" w:rsidP="00EB17B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504125DE" w14:textId="2DC38948" w:rsidR="00EB17BC" w:rsidRDefault="00661FA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rStyle w:val="Hipercze"/>
          <w:rFonts w:eastAsiaTheme="majorEastAsia"/>
        </w:rPr>
      </w:pPr>
      <w:hyperlink r:id="rId34" w:history="1">
        <w:r w:rsidR="00EB17BC" w:rsidRPr="00007D62">
          <w:rPr>
            <w:rStyle w:val="Hipercze"/>
            <w:rFonts w:eastAsiaTheme="majorEastAsia"/>
          </w:rPr>
          <w:t>https://www.europarl.europa.eu/thinktank/en/document/EPRS_BRI(2022)698889</w:t>
        </w:r>
      </w:hyperlink>
    </w:p>
    <w:p w14:paraId="766EAFD3" w14:textId="77777777" w:rsidR="00D91535" w:rsidRDefault="00D91535" w:rsidP="006431B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4D7FA45" w14:textId="608480D6" w:rsidR="00AF5703" w:rsidRDefault="00AF5703" w:rsidP="00AF570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D9153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5383B">
        <w:rPr>
          <w:rFonts w:ascii="Times New Roman" w:eastAsia="Yu Gothic Medium" w:hAnsi="Times New Roman" w:cs="Times New Roman"/>
          <w:b/>
          <w:sz w:val="24"/>
          <w:szCs w:val="24"/>
        </w:rPr>
        <w:t>Przegląd rozporządzenia LULUCF</w:t>
      </w:r>
    </w:p>
    <w:p w14:paraId="6FF58CCE" w14:textId="0176C038" w:rsidR="006431B8" w:rsidRDefault="00B5383B" w:rsidP="0064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>apraszamy do zapoznania z przeglądem rozporządzenia LULUCF, w zakresie którego jedną z kluczowych przewidywanych zmian będzie połączenie sektora LULUCF z sektorem rolnym w nowym filarze klimatycznym od roku 2030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8D51F" w14:textId="5678079D" w:rsidR="00B5383B" w:rsidRPr="00B5383B" w:rsidRDefault="00B5383B" w:rsidP="0064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B985CB8" w14:textId="3BE9E9AC" w:rsidR="002E3557" w:rsidRDefault="00661FAD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5" w:history="1">
        <w:r w:rsidR="00B5383B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https://www.europarl.europa.eu/thinktank/en/document/EPRS_BRI(2021)698843</w:t>
        </w:r>
      </w:hyperlink>
      <w:r w:rsidR="00B5383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17B650B7" w14:textId="48433F2B" w:rsidR="00CF04C8" w:rsidRDefault="00CF04C8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A08BA8F" w14:textId="564F8AFA" w:rsidR="00CF04C8" w:rsidRDefault="00CF04C8" w:rsidP="00CF04C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VII. </w:t>
      </w:r>
      <w:r w:rsidR="00B34A4F">
        <w:rPr>
          <w:rFonts w:ascii="Times New Roman" w:eastAsia="Yu Gothic Medium" w:hAnsi="Times New Roman" w:cs="Times New Roman"/>
          <w:b/>
          <w:sz w:val="24"/>
          <w:szCs w:val="24"/>
        </w:rPr>
        <w:t>Koncepcja „Strat i Szkód” a zmiany klimatyczne</w:t>
      </w:r>
    </w:p>
    <w:p w14:paraId="42E6C666" w14:textId="6A1E4FCD" w:rsidR="00CF04C8" w:rsidRDefault="00B34A4F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z artykułem na temat koncepcji „Strat i Szkód” w odniesieniu do zachodzących zmian klimatycznych. Podkreśla się, że wskazany temat będzie jednym </w:t>
      </w:r>
      <w:r w:rsidR="003B576B">
        <w:rPr>
          <w:rFonts w:ascii="Times New Roman" w:hAnsi="Times New Roman" w:cs="Times New Roman"/>
          <w:sz w:val="24"/>
          <w:szCs w:val="24"/>
        </w:rPr>
        <w:br/>
      </w:r>
      <w:r w:rsidRPr="00007D62">
        <w:rPr>
          <w:rFonts w:ascii="Times New Roman" w:hAnsi="Times New Roman" w:cs="Times New Roman"/>
          <w:sz w:val="24"/>
          <w:szCs w:val="24"/>
        </w:rPr>
        <w:lastRenderedPageBreak/>
        <w:t>z głównych obszarów zainteresowania podczas nadchodzącej Konferencji Klimatycznej (COP27), która odbędzie się w listopadzie tego roku w Egipcie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9D6EF" w14:textId="77777777" w:rsidR="00B34A4F" w:rsidRPr="00B5383B" w:rsidRDefault="00B34A4F" w:rsidP="00B3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4BE23C2" w14:textId="39E01BBB" w:rsidR="00B34A4F" w:rsidRDefault="00661FAD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6" w:history="1">
        <w:r w:rsidR="00B34A4F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https://www.europarl.europa.eu/thinktank/en/document/EPRS_BRI(2022)733598</w:t>
        </w:r>
      </w:hyperlink>
    </w:p>
    <w:p w14:paraId="6594B5D0" w14:textId="150FE773" w:rsidR="00B34A4F" w:rsidRDefault="00B34A4F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0876C" w14:textId="345D1A84" w:rsidR="00606293" w:rsidRDefault="009C0F5A" w:rsidP="0060629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606293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F79D4">
        <w:rPr>
          <w:rFonts w:ascii="Times New Roman" w:eastAsia="Yu Gothic Medium" w:hAnsi="Times New Roman" w:cs="Times New Roman"/>
          <w:b/>
          <w:sz w:val="24"/>
          <w:szCs w:val="24"/>
        </w:rPr>
        <w:t>Przegląd dyrektywy PE i Rady w sprawie zrównoważonego stosowania pestycydów</w:t>
      </w:r>
    </w:p>
    <w:p w14:paraId="1E2ED60F" w14:textId="601D6AEB" w:rsidR="00B34A4F" w:rsidRDefault="007F79D4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>apraszamy do zapoznania z informacją na temat przeglądu dyrektywy Parlamentu Europejskiego i Rady 2009/128/WE w sprawie zrównoważonego stosowania pestycydów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6FEC5" w14:textId="77777777" w:rsidR="007F79D4" w:rsidRPr="00B5383B" w:rsidRDefault="007F79D4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78EC73B" w14:textId="7E6F5755" w:rsidR="00B5383B" w:rsidRDefault="00661FAD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7" w:history="1">
        <w:r w:rsidR="007F79D4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https://www.europarl.europa.eu/thinktank/en/document/EPRS_BRI(2022)730353</w:t>
        </w:r>
      </w:hyperlink>
    </w:p>
    <w:p w14:paraId="10765B62" w14:textId="4974D0CC" w:rsidR="007F79D4" w:rsidRDefault="007F79D4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247AA" w14:textId="72CF0268" w:rsidR="005C5B39" w:rsidRDefault="009C0F5A" w:rsidP="005C5B3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C5B39">
        <w:rPr>
          <w:rFonts w:ascii="Times New Roman" w:eastAsia="Yu Gothic Medium" w:hAnsi="Times New Roman" w:cs="Times New Roman"/>
          <w:b/>
          <w:sz w:val="24"/>
          <w:szCs w:val="24"/>
        </w:rPr>
        <w:t>X. Ocena wdrażania programu szkolnego UE dla owoców, warzyw i przetworów mlecznych</w:t>
      </w:r>
    </w:p>
    <w:p w14:paraId="217AEB51" w14:textId="33B909E4" w:rsidR="005C5B39" w:rsidRDefault="005C5B39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>apraszamy do zapoznania z artykułem na temat europejskiej oceny wdrażania programu szkolnego UE dla owoców, warzyw i przetworów mlecznych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F761D" w14:textId="77777777" w:rsidR="005C5B39" w:rsidRPr="00B5383B" w:rsidRDefault="005C5B39" w:rsidP="005C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CBD38BB" w14:textId="67AF8709" w:rsidR="005C5B39" w:rsidRDefault="00661FAD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5C5B39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https://www.europarl.europa.eu/thinktank/en/document/EPRS_STU(2022)730339</w:t>
        </w:r>
      </w:hyperlink>
      <w:r w:rsidR="005C5B3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31B3D5BA" w14:textId="2FD751BB" w:rsidR="005C5B39" w:rsidRDefault="005C5B39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F305C" w14:textId="0A9C426D" w:rsidR="005C5B39" w:rsidRDefault="005C5B39" w:rsidP="005C5B3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X. </w:t>
      </w:r>
      <w:r w:rsidR="002C6E27">
        <w:rPr>
          <w:rFonts w:ascii="Times New Roman" w:eastAsia="Yu Gothic Medium" w:hAnsi="Times New Roman" w:cs="Times New Roman"/>
          <w:b/>
          <w:sz w:val="24"/>
          <w:szCs w:val="24"/>
        </w:rPr>
        <w:t>System</w:t>
      </w:r>
      <w:r w:rsidR="0025134F">
        <w:rPr>
          <w:rFonts w:ascii="Times New Roman" w:eastAsia="Yu Gothic Medium" w:hAnsi="Times New Roman" w:cs="Times New Roman"/>
          <w:b/>
          <w:sz w:val="24"/>
          <w:szCs w:val="24"/>
        </w:rPr>
        <w:t>y</w:t>
      </w:r>
      <w:r w:rsidR="002C6E27">
        <w:rPr>
          <w:rFonts w:ascii="Times New Roman" w:eastAsia="Yu Gothic Medium" w:hAnsi="Times New Roman" w:cs="Times New Roman"/>
          <w:b/>
          <w:sz w:val="24"/>
          <w:szCs w:val="24"/>
        </w:rPr>
        <w:t xml:space="preserve"> certyfikacji gospodarstw </w:t>
      </w:r>
      <w:r w:rsidR="00610AAD">
        <w:rPr>
          <w:rFonts w:ascii="Times New Roman" w:eastAsia="Yu Gothic Medium" w:hAnsi="Times New Roman" w:cs="Times New Roman"/>
          <w:b/>
          <w:sz w:val="24"/>
          <w:szCs w:val="24"/>
        </w:rPr>
        <w:t>na rzecz</w:t>
      </w:r>
      <w:r w:rsidR="002C6E27">
        <w:rPr>
          <w:rFonts w:ascii="Times New Roman" w:eastAsia="Yu Gothic Medium" w:hAnsi="Times New Roman" w:cs="Times New Roman"/>
          <w:b/>
          <w:sz w:val="24"/>
          <w:szCs w:val="24"/>
        </w:rPr>
        <w:t xml:space="preserve"> zrównoważonego rolnictwa</w:t>
      </w:r>
    </w:p>
    <w:p w14:paraId="35938BFB" w14:textId="2CA0F985" w:rsidR="002C6E27" w:rsidRDefault="002C6E27" w:rsidP="00610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>apraszamy do zapoznania z badaniem przeprowadzonym dla Komisji</w:t>
      </w:r>
      <w:r w:rsidR="00610AAD">
        <w:rPr>
          <w:rFonts w:ascii="Times New Roman" w:hAnsi="Times New Roman" w:cs="Times New Roman"/>
          <w:sz w:val="24"/>
          <w:szCs w:val="24"/>
        </w:rPr>
        <w:t>,</w:t>
      </w:r>
      <w:r w:rsidRPr="00007D62">
        <w:rPr>
          <w:rFonts w:ascii="Times New Roman" w:hAnsi="Times New Roman" w:cs="Times New Roman"/>
          <w:sz w:val="24"/>
          <w:szCs w:val="24"/>
        </w:rPr>
        <w:t xml:space="preserve"> dotyczącym system</w:t>
      </w:r>
      <w:r w:rsidR="00610AAD">
        <w:rPr>
          <w:rFonts w:ascii="Times New Roman" w:hAnsi="Times New Roman" w:cs="Times New Roman"/>
          <w:sz w:val="24"/>
          <w:szCs w:val="24"/>
        </w:rPr>
        <w:t>ów</w:t>
      </w:r>
      <w:r w:rsidRPr="00007D62">
        <w:rPr>
          <w:rFonts w:ascii="Times New Roman" w:hAnsi="Times New Roman" w:cs="Times New Roman"/>
          <w:sz w:val="24"/>
          <w:szCs w:val="24"/>
        </w:rPr>
        <w:t xml:space="preserve"> certyfikacji gospodarstw </w:t>
      </w:r>
      <w:r w:rsidR="00610AAD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007D62">
        <w:rPr>
          <w:rFonts w:ascii="Times New Roman" w:hAnsi="Times New Roman" w:cs="Times New Roman"/>
          <w:sz w:val="24"/>
          <w:szCs w:val="24"/>
        </w:rPr>
        <w:t>zrównoważonego rolnictwa</w:t>
      </w:r>
      <w:r w:rsidR="00610AAD">
        <w:rPr>
          <w:rFonts w:ascii="Times New Roman" w:hAnsi="Times New Roman" w:cs="Times New Roman"/>
          <w:sz w:val="24"/>
          <w:szCs w:val="24"/>
        </w:rPr>
        <w:t>.</w:t>
      </w:r>
    </w:p>
    <w:p w14:paraId="71A6A122" w14:textId="77777777" w:rsidR="00610AAD" w:rsidRPr="00B5383B" w:rsidRDefault="00610AAD" w:rsidP="00610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4003CBE" w14:textId="02FC9E47" w:rsidR="00610AAD" w:rsidRDefault="00661FAD" w:rsidP="00610AA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9" w:history="1">
        <w:r w:rsidR="00610AAD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https://www.europarl.europa.eu/thinktank/en/document/IPOL_ATA(2022)699634</w:t>
        </w:r>
      </w:hyperlink>
    </w:p>
    <w:p w14:paraId="3050BB79" w14:textId="2434D4D9" w:rsidR="00610AAD" w:rsidRDefault="00610AAD" w:rsidP="00610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B7565" w14:textId="28CE8DC5" w:rsidR="00F44E7D" w:rsidRDefault="00F44E7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b/>
        </w:rPr>
      </w:pPr>
      <w:r w:rsidRPr="00F44E7D">
        <w:rPr>
          <w:b/>
        </w:rPr>
        <w:t>Ponadto:</w:t>
      </w:r>
    </w:p>
    <w:p w14:paraId="17218CF2" w14:textId="77777777" w:rsidR="00F44E7D" w:rsidRPr="00F44E7D" w:rsidRDefault="00F44E7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b/>
        </w:rPr>
      </w:pPr>
    </w:p>
    <w:p w14:paraId="3565D752" w14:textId="22805A0D" w:rsidR="00F44E7D" w:rsidRDefault="009C0F5A" w:rsidP="00F44E7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t xml:space="preserve">. Stanowisko Komisji Ochrony Środowiska Naturalnego, Zdrowia Publicznego 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br/>
        <w:t>i Bezpieczeństwa Żywności ws. nowych</w:t>
      </w:r>
      <w:r w:rsidR="00F44E7D" w:rsidRPr="00D91535">
        <w:rPr>
          <w:rFonts w:ascii="Times New Roman" w:eastAsia="Yu Gothic Medium" w:hAnsi="Times New Roman" w:cs="Times New Roman"/>
          <w:b/>
          <w:sz w:val="24"/>
          <w:szCs w:val="24"/>
        </w:rPr>
        <w:t xml:space="preserve"> przepis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t>ów</w:t>
      </w:r>
      <w:r w:rsidR="00F44E7D" w:rsidRPr="00D91535">
        <w:rPr>
          <w:rFonts w:ascii="Times New Roman" w:eastAsia="Yu Gothic Medium" w:hAnsi="Times New Roman" w:cs="Times New Roman"/>
          <w:b/>
          <w:sz w:val="24"/>
          <w:szCs w:val="24"/>
        </w:rPr>
        <w:t xml:space="preserve"> dla firm 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t>na rzecz</w:t>
      </w:r>
      <w:r w:rsidR="00F44E7D" w:rsidRPr="00D91535">
        <w:rPr>
          <w:rFonts w:ascii="Times New Roman" w:eastAsia="Yu Gothic Medium" w:hAnsi="Times New Roman" w:cs="Times New Roman"/>
          <w:b/>
          <w:sz w:val="24"/>
          <w:szCs w:val="24"/>
        </w:rPr>
        <w:t xml:space="preserve"> powstrzyma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t>nia</w:t>
      </w:r>
      <w:r w:rsidR="00F44E7D" w:rsidRPr="00D91535">
        <w:rPr>
          <w:rFonts w:ascii="Times New Roman" w:eastAsia="Yu Gothic Medium" w:hAnsi="Times New Roman" w:cs="Times New Roman"/>
          <w:b/>
          <w:sz w:val="24"/>
          <w:szCs w:val="24"/>
        </w:rPr>
        <w:t xml:space="preserve"> globalne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t>go</w:t>
      </w:r>
      <w:r w:rsidR="00F44E7D" w:rsidRPr="00D91535">
        <w:rPr>
          <w:rFonts w:ascii="Times New Roman" w:eastAsia="Yu Gothic Medium" w:hAnsi="Times New Roman" w:cs="Times New Roman"/>
          <w:b/>
          <w:sz w:val="24"/>
          <w:szCs w:val="24"/>
        </w:rPr>
        <w:t xml:space="preserve"> wylesiani</w:t>
      </w:r>
      <w:r w:rsidR="00F44E7D">
        <w:rPr>
          <w:rFonts w:ascii="Times New Roman" w:eastAsia="Yu Gothic Medium" w:hAnsi="Times New Roman" w:cs="Times New Roman"/>
          <w:b/>
          <w:sz w:val="24"/>
          <w:szCs w:val="24"/>
        </w:rPr>
        <w:t>a</w:t>
      </w:r>
    </w:p>
    <w:p w14:paraId="1F02435A" w14:textId="77777777" w:rsidR="00F44E7D" w:rsidRDefault="00F44E7D" w:rsidP="00F4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F1F">
        <w:rPr>
          <w:rFonts w:ascii="Times New Roman" w:hAnsi="Times New Roman" w:cs="Times New Roman"/>
          <w:sz w:val="24"/>
          <w:szCs w:val="24"/>
          <w:shd w:val="clear" w:color="auto" w:fill="FFFFFF"/>
        </w:rPr>
        <w:t>Komisja Ochrony Środowiska Naturalnego, Zdrowia Publicznego i Bezpieczeństwa Żywności przyjęła stanowisko w sprawie wniosku Komisji dotyczącego rozporządzenia w sprawie produktów wolnych od wylesiania w celu powstrzymania globalnego wylesiania spowodowanego przez UE.</w:t>
      </w:r>
    </w:p>
    <w:p w14:paraId="34DE9003" w14:textId="77777777" w:rsidR="00F44E7D" w:rsidRDefault="00F44E7D" w:rsidP="00F44E7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5947A565" w14:textId="77777777" w:rsidR="00F44E7D" w:rsidRPr="00FF0F1F" w:rsidRDefault="00661FAD" w:rsidP="00F44E7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hyperlink r:id="rId40" w:history="1"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Climate </w:t>
        </w:r>
        <w:proofErr w:type="spellStart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>change</w:t>
        </w:r>
        <w:proofErr w:type="spellEnd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new </w:t>
        </w:r>
        <w:proofErr w:type="spellStart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>rules</w:t>
        </w:r>
        <w:proofErr w:type="spellEnd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</w:t>
        </w:r>
        <w:proofErr w:type="spellStart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>companies</w:t>
        </w:r>
        <w:proofErr w:type="spellEnd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stop EU-</w:t>
        </w:r>
        <w:proofErr w:type="spellStart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>driven</w:t>
        </w:r>
        <w:proofErr w:type="spellEnd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>deforestation</w:t>
        </w:r>
        <w:proofErr w:type="spellEnd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>globally</w:t>
        </w:r>
        <w:proofErr w:type="spellEnd"/>
        <w:r w:rsidR="00F44E7D" w:rsidRPr="00FF0F1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Aktualności | Parlament Europejski (europa.eu)</w:t>
        </w:r>
      </w:hyperlink>
      <w:r w:rsidR="00F44E7D" w:rsidRPr="00FF0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A647" w14:textId="77777777" w:rsidR="00F44E7D" w:rsidRPr="00A67B68" w:rsidRDefault="00F44E7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3309F928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  <w:t>Europejski Komitet Regionów</w:t>
      </w:r>
    </w:p>
    <w:p w14:paraId="20A82F40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B3775FA" w14:textId="5B002517" w:rsidR="001E1917" w:rsidRDefault="00A3697C" w:rsidP="00B82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D6DDE">
        <w:rPr>
          <w:rFonts w:ascii="Times New Roman" w:eastAsia="Yu Gothic Medium" w:hAnsi="Times New Roman" w:cs="Times New Roman"/>
          <w:b/>
          <w:sz w:val="24"/>
          <w:szCs w:val="24"/>
        </w:rPr>
        <w:t>Pierwszy podręcznik Europejskiego Zielonego Ładu poświęcony adaptacji do zmian klimatu</w:t>
      </w:r>
    </w:p>
    <w:p w14:paraId="1F08E1B7" w14:textId="4130B802" w:rsidR="008735AE" w:rsidRPr="007D6DDE" w:rsidRDefault="007D6DD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7D6DDE">
        <w:rPr>
          <w:rStyle w:val="Pogrubienie"/>
          <w:rFonts w:eastAsiaTheme="majorEastAsia"/>
          <w:b w:val="0"/>
          <w:shd w:val="clear" w:color="auto" w:fill="FFFFFF"/>
        </w:rPr>
        <w:t xml:space="preserve">Europejski Komitet Regionów opublikował podręcznik </w:t>
      </w:r>
      <w:r w:rsidR="00CF446E">
        <w:rPr>
          <w:rStyle w:val="Pogrubienie"/>
          <w:rFonts w:eastAsiaTheme="majorEastAsia"/>
          <w:b w:val="0"/>
          <w:shd w:val="clear" w:color="auto" w:fill="FFFFFF"/>
        </w:rPr>
        <w:t xml:space="preserve">Europejskiego Zielonego Ładu </w:t>
      </w:r>
      <w:r w:rsidRPr="007D6DDE">
        <w:rPr>
          <w:rStyle w:val="Pogrubienie"/>
          <w:rFonts w:eastAsiaTheme="majorEastAsia"/>
          <w:b w:val="0"/>
          <w:shd w:val="clear" w:color="auto" w:fill="FFFFFF"/>
        </w:rPr>
        <w:t xml:space="preserve">poświęcony przystosowaniu do zmian klimatu. Podręcznik jest interaktywnym zestawem narzędzi, </w:t>
      </w:r>
      <w:r w:rsidR="00CF446E">
        <w:rPr>
          <w:rStyle w:val="Pogrubienie"/>
          <w:rFonts w:eastAsiaTheme="majorEastAsia"/>
          <w:b w:val="0"/>
          <w:shd w:val="clear" w:color="auto" w:fill="FFFFFF"/>
        </w:rPr>
        <w:t>zawierającym</w:t>
      </w:r>
      <w:r w:rsidRPr="007D6DDE">
        <w:rPr>
          <w:rStyle w:val="Pogrubienie"/>
          <w:rFonts w:eastAsiaTheme="majorEastAsia"/>
          <w:b w:val="0"/>
          <w:shd w:val="clear" w:color="auto" w:fill="FFFFFF"/>
        </w:rPr>
        <w:t xml:space="preserve"> informacje </w:t>
      </w:r>
      <w:r w:rsidR="00CF446E">
        <w:rPr>
          <w:rStyle w:val="Pogrubienie"/>
          <w:rFonts w:eastAsiaTheme="majorEastAsia"/>
          <w:b w:val="0"/>
          <w:shd w:val="clear" w:color="auto" w:fill="FFFFFF"/>
        </w:rPr>
        <w:t>o</w:t>
      </w:r>
      <w:r w:rsidRPr="007D6DDE">
        <w:rPr>
          <w:rStyle w:val="Pogrubienie"/>
          <w:rFonts w:eastAsiaTheme="majorEastAsia"/>
          <w:b w:val="0"/>
          <w:shd w:val="clear" w:color="auto" w:fill="FFFFFF"/>
        </w:rPr>
        <w:t xml:space="preserve"> pomocy finansowej i instrument</w:t>
      </w:r>
      <w:r w:rsidR="00CF446E">
        <w:rPr>
          <w:rStyle w:val="Pogrubienie"/>
          <w:rFonts w:eastAsiaTheme="majorEastAsia"/>
          <w:b w:val="0"/>
          <w:shd w:val="clear" w:color="auto" w:fill="FFFFFF"/>
        </w:rPr>
        <w:t>ach</w:t>
      </w:r>
      <w:r w:rsidRPr="007D6DDE">
        <w:rPr>
          <w:rStyle w:val="Pogrubienie"/>
          <w:rFonts w:eastAsiaTheme="majorEastAsia"/>
          <w:b w:val="0"/>
          <w:shd w:val="clear" w:color="auto" w:fill="FFFFFF"/>
        </w:rPr>
        <w:t xml:space="preserve"> technicznych służących wdrożeniu środków przystosowania się do zmiany klimatu w oparciu o różne obszary geograficzne i specyfikę regionalną.</w:t>
      </w:r>
    </w:p>
    <w:p w14:paraId="3E6DA4D3" w14:textId="77777777" w:rsidR="00CF446E" w:rsidRDefault="00CF446E" w:rsidP="00CF44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4799B8E" w14:textId="25310A25" w:rsidR="007D6DDE" w:rsidRDefault="00661FA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41" w:history="1">
        <w:proofErr w:type="spellStart"/>
        <w:r w:rsidR="00CF446E">
          <w:rPr>
            <w:rStyle w:val="Hipercze"/>
            <w:rFonts w:eastAsiaTheme="majorEastAsia"/>
          </w:rPr>
          <w:t>Adapting</w:t>
        </w:r>
        <w:proofErr w:type="spellEnd"/>
        <w:r w:rsidR="00CF446E">
          <w:rPr>
            <w:rStyle w:val="Hipercze"/>
            <w:rFonts w:eastAsiaTheme="majorEastAsia"/>
          </w:rPr>
          <w:t xml:space="preserve"> to </w:t>
        </w:r>
        <w:proofErr w:type="spellStart"/>
        <w:r w:rsidR="00CF446E">
          <w:rPr>
            <w:rStyle w:val="Hipercze"/>
            <w:rFonts w:eastAsiaTheme="majorEastAsia"/>
          </w:rPr>
          <w:t>climate</w:t>
        </w:r>
        <w:proofErr w:type="spellEnd"/>
        <w:r w:rsidR="00CF446E">
          <w:rPr>
            <w:rStyle w:val="Hipercze"/>
            <w:rFonts w:eastAsiaTheme="majorEastAsia"/>
          </w:rPr>
          <w:t xml:space="preserve"> </w:t>
        </w:r>
        <w:proofErr w:type="spellStart"/>
        <w:r w:rsidR="00CF446E">
          <w:rPr>
            <w:rStyle w:val="Hipercze"/>
            <w:rFonts w:eastAsiaTheme="majorEastAsia"/>
          </w:rPr>
          <w:t>change</w:t>
        </w:r>
        <w:proofErr w:type="spellEnd"/>
        <w:r w:rsidR="00CF446E">
          <w:rPr>
            <w:rStyle w:val="Hipercze"/>
            <w:rFonts w:eastAsiaTheme="majorEastAsia"/>
          </w:rPr>
          <w:t xml:space="preserve">: new </w:t>
        </w:r>
        <w:proofErr w:type="spellStart"/>
        <w:r w:rsidR="00CF446E">
          <w:rPr>
            <w:rStyle w:val="Hipercze"/>
            <w:rFonts w:eastAsiaTheme="majorEastAsia"/>
          </w:rPr>
          <w:t>toolkit</w:t>
        </w:r>
        <w:proofErr w:type="spellEnd"/>
        <w:r w:rsidR="00CF446E">
          <w:rPr>
            <w:rStyle w:val="Hipercze"/>
            <w:rFonts w:eastAsiaTheme="majorEastAsia"/>
          </w:rPr>
          <w:t xml:space="preserve"> for cities and regions </w:t>
        </w:r>
        <w:proofErr w:type="spellStart"/>
        <w:r w:rsidR="00CF446E">
          <w:rPr>
            <w:rStyle w:val="Hipercze"/>
            <w:rFonts w:eastAsiaTheme="majorEastAsia"/>
          </w:rPr>
          <w:t>now</w:t>
        </w:r>
        <w:proofErr w:type="spellEnd"/>
        <w:r w:rsidR="00CF446E">
          <w:rPr>
            <w:rStyle w:val="Hipercze"/>
            <w:rFonts w:eastAsiaTheme="majorEastAsia"/>
          </w:rPr>
          <w:t xml:space="preserve"> online (europa.eu)</w:t>
        </w:r>
      </w:hyperlink>
      <w:r w:rsidR="00CF446E">
        <w:t xml:space="preserve"> </w:t>
      </w:r>
    </w:p>
    <w:p w14:paraId="655EED5A" w14:textId="05C49394" w:rsidR="00CF446E" w:rsidRDefault="00CF446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15E4E3C" w14:textId="77777777" w:rsidR="00CF446E" w:rsidRDefault="00CF446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2FA6951" w14:textId="77777777" w:rsidR="007D6DDE" w:rsidRPr="00F33FBF" w:rsidRDefault="007D6DD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74D5580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Europejska Sieć na rzecz Rozwoju Obszarów Wiejskich (ENRD)</w:t>
      </w:r>
    </w:p>
    <w:p w14:paraId="4CD5E1B2" w14:textId="281E96A5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0C403B8" w14:textId="74B52563" w:rsidR="00472E21" w:rsidRPr="00107FB7" w:rsidRDefault="00ED5966" w:rsidP="00472E2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72E21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72E21">
        <w:rPr>
          <w:rFonts w:ascii="Times New Roman" w:hAnsi="Times New Roman" w:cs="Times New Roman"/>
          <w:b/>
          <w:sz w:val="24"/>
          <w:szCs w:val="24"/>
        </w:rPr>
        <w:t>Priorytety Czeskiej Prezydencji w zakresie rolnictwa do 31.12.2022 roku</w:t>
      </w:r>
    </w:p>
    <w:p w14:paraId="3ACF70F4" w14:textId="029F8F84" w:rsidR="00472E21" w:rsidRDefault="00472E21" w:rsidP="0047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945F84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z artykułem na temat priorytetów Czeskiej Prezydencji w zakresie rolnictwa, które obejmują </w:t>
      </w:r>
      <w:r w:rsidRPr="00007D62">
        <w:rPr>
          <w:rFonts w:ascii="Times New Roman" w:hAnsi="Times New Roman" w:cs="Times New Roman"/>
          <w:sz w:val="24"/>
          <w:szCs w:val="24"/>
        </w:rPr>
        <w:t>dalsze prace nad poprawą zrównoważonego rozwoju rolnictwa, ze szczególnym naciskiem na hodowlę zwierząt, rybołówstwo, systemy żywnościowe, gospodarkę leśną, ochronę bioróżnorodności oraz zaopatrzenie w żywność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D0294" w14:textId="77777777" w:rsidR="00472E21" w:rsidRDefault="00472E21" w:rsidP="00472E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30C8BB9D" w14:textId="1FD23354" w:rsidR="00472E21" w:rsidRDefault="00661FAD" w:rsidP="00472E2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2" w:history="1">
        <w:r w:rsidR="00472E21" w:rsidRPr="000B664B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https://enrd.ec.europa.eu/news-events/news/latest-cap-developments-cz-pres-priorities_en</w:t>
        </w:r>
      </w:hyperlink>
    </w:p>
    <w:p w14:paraId="5E07E752" w14:textId="762D902E" w:rsidR="00472E21" w:rsidRDefault="00472E21" w:rsidP="00472E2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59B98AC" w14:textId="68CF6CF6" w:rsidR="004B1AAD" w:rsidRPr="00107FB7" w:rsidRDefault="004B1AAD" w:rsidP="004B1AA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01D0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Raport E</w:t>
      </w:r>
      <w:r w:rsidR="00C01D03">
        <w:rPr>
          <w:rFonts w:ascii="Times New Roman" w:hAnsi="Times New Roman" w:cs="Times New Roman"/>
          <w:b/>
          <w:sz w:val="24"/>
          <w:szCs w:val="24"/>
        </w:rPr>
        <w:t xml:space="preserve">uropejskiego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C01D03">
        <w:rPr>
          <w:rFonts w:ascii="Times New Roman" w:hAnsi="Times New Roman" w:cs="Times New Roman"/>
          <w:b/>
          <w:sz w:val="24"/>
          <w:szCs w:val="24"/>
        </w:rPr>
        <w:t xml:space="preserve">rybunału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1D03">
        <w:rPr>
          <w:rFonts w:ascii="Times New Roman" w:hAnsi="Times New Roman" w:cs="Times New Roman"/>
          <w:b/>
          <w:sz w:val="24"/>
          <w:szCs w:val="24"/>
        </w:rPr>
        <w:t>brachunkowego</w:t>
      </w:r>
      <w:r>
        <w:rPr>
          <w:rFonts w:ascii="Times New Roman" w:hAnsi="Times New Roman" w:cs="Times New Roman"/>
          <w:b/>
          <w:sz w:val="24"/>
          <w:szCs w:val="24"/>
        </w:rPr>
        <w:t xml:space="preserve"> na temat LEADER</w:t>
      </w:r>
    </w:p>
    <w:p w14:paraId="7EE8C6A1" w14:textId="1D1D35F6" w:rsidR="004B1AAD" w:rsidRDefault="004B1AAD" w:rsidP="006B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7D62">
        <w:rPr>
          <w:rFonts w:ascii="Times New Roman" w:hAnsi="Times New Roman" w:cs="Times New Roman"/>
          <w:sz w:val="24"/>
          <w:szCs w:val="24"/>
        </w:rPr>
        <w:t>ontrolerzy kwestionują wyniki unijnego podejścia do rozwoju lokalnego kierowanego przez społeczność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007D62">
        <w:rPr>
          <w:rFonts w:ascii="Times New Roman" w:hAnsi="Times New Roman" w:cs="Times New Roman"/>
          <w:sz w:val="24"/>
          <w:szCs w:val="24"/>
        </w:rPr>
        <w:t>apraszamy do zapoznania z raportem z kontroli podejścia LEADER opublikowanym przez E</w:t>
      </w:r>
      <w:r>
        <w:rPr>
          <w:rFonts w:ascii="Times New Roman" w:hAnsi="Times New Roman" w:cs="Times New Roman"/>
          <w:sz w:val="24"/>
          <w:szCs w:val="24"/>
        </w:rPr>
        <w:t xml:space="preserve">uropejski </w:t>
      </w:r>
      <w:r w:rsidRPr="00007D6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rybunał </w:t>
      </w:r>
      <w:r w:rsidRPr="00007D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brachunkowy</w:t>
      </w:r>
      <w:r w:rsidRPr="00007D62">
        <w:rPr>
          <w:rFonts w:ascii="Times New Roman" w:hAnsi="Times New Roman" w:cs="Times New Roman"/>
          <w:sz w:val="24"/>
          <w:szCs w:val="24"/>
        </w:rPr>
        <w:t xml:space="preserve"> oraz odpowiedziami przedłożonymi przez Komisję Europejską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0A740D" w14:textId="77777777" w:rsidR="004B1AAD" w:rsidRDefault="004B1AAD" w:rsidP="004B1AA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07E95DE" w14:textId="6482306A" w:rsidR="004B1AAD" w:rsidRPr="00007D62" w:rsidRDefault="00661FAD" w:rsidP="004B1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4B1AAD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https://enrd.ec.europa.eu/news-events/news/auditors-question-outcome-eus-community-led-local-development-approach_en</w:t>
        </w:r>
      </w:hyperlink>
    </w:p>
    <w:p w14:paraId="4D011DC3" w14:textId="3EDF8ECB" w:rsidR="004B1AAD" w:rsidRDefault="004B1AAD" w:rsidP="00472E2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9CECF47" w14:textId="17808271" w:rsidR="00472E21" w:rsidRDefault="00C01D03" w:rsidP="00472E2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72E21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ED596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72E21">
        <w:rPr>
          <w:rFonts w:ascii="Times New Roman" w:eastAsia="Yu Gothic Medium" w:hAnsi="Times New Roman" w:cs="Times New Roman"/>
          <w:b/>
          <w:sz w:val="24"/>
          <w:szCs w:val="24"/>
        </w:rPr>
        <w:t>. Ryzyko oszustw w płatnościach WPR</w:t>
      </w:r>
      <w:r w:rsidR="00A70787">
        <w:rPr>
          <w:rFonts w:ascii="Times New Roman" w:eastAsia="Yu Gothic Medium" w:hAnsi="Times New Roman" w:cs="Times New Roman"/>
          <w:b/>
          <w:sz w:val="24"/>
          <w:szCs w:val="24"/>
        </w:rPr>
        <w:t xml:space="preserve"> - o</w:t>
      </w:r>
      <w:r w:rsidR="00472E21">
        <w:rPr>
          <w:rFonts w:ascii="Times New Roman" w:eastAsia="Yu Gothic Medium" w:hAnsi="Times New Roman" w:cs="Times New Roman"/>
          <w:b/>
          <w:sz w:val="24"/>
          <w:szCs w:val="24"/>
        </w:rPr>
        <w:t xml:space="preserve">cena </w:t>
      </w:r>
      <w:r w:rsidR="00A70787">
        <w:rPr>
          <w:rFonts w:ascii="Times New Roman" w:eastAsia="Yu Gothic Medium" w:hAnsi="Times New Roman" w:cs="Times New Roman"/>
          <w:b/>
          <w:sz w:val="24"/>
          <w:szCs w:val="24"/>
        </w:rPr>
        <w:t>ETO</w:t>
      </w:r>
    </w:p>
    <w:p w14:paraId="1A52C25C" w14:textId="678C0FAD" w:rsidR="00472E21" w:rsidRPr="00472E21" w:rsidRDefault="00472E21" w:rsidP="0047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1">
        <w:rPr>
          <w:rFonts w:ascii="Times New Roman" w:hAnsi="Times New Roman" w:cs="Times New Roman"/>
          <w:sz w:val="24"/>
          <w:szCs w:val="24"/>
        </w:rPr>
        <w:t xml:space="preserve">Europejski Trybunał Obrachunkowy ocenił ryzyko nadużyć finansowych w systemach płatności Wspólnej Polityki Rolnej. </w:t>
      </w:r>
      <w:r w:rsidR="003204C1">
        <w:rPr>
          <w:rFonts w:ascii="Times New Roman" w:hAnsi="Times New Roman" w:cs="Times New Roman"/>
          <w:sz w:val="24"/>
          <w:szCs w:val="24"/>
        </w:rPr>
        <w:t>Trybunał</w:t>
      </w:r>
      <w:r w:rsidRPr="00472E21">
        <w:rPr>
          <w:rFonts w:ascii="Times New Roman" w:hAnsi="Times New Roman" w:cs="Times New Roman"/>
          <w:sz w:val="24"/>
          <w:szCs w:val="24"/>
        </w:rPr>
        <w:t xml:space="preserve"> przeanalizował dane z okresów programowania 2007-2013 oraz 2014-2020, skupiając się na płatnościach bezpośrednich, środkach rynkowych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72E21">
        <w:rPr>
          <w:rFonts w:ascii="Times New Roman" w:hAnsi="Times New Roman" w:cs="Times New Roman"/>
          <w:sz w:val="24"/>
          <w:szCs w:val="24"/>
        </w:rPr>
        <w:t>i rozwoju obszarów wiejskich.</w:t>
      </w:r>
    </w:p>
    <w:p w14:paraId="3638C7F6" w14:textId="77777777" w:rsidR="00472E21" w:rsidRDefault="00472E21" w:rsidP="00472E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30BC6DB9" w14:textId="51243B93" w:rsidR="00472E21" w:rsidRDefault="00661FAD" w:rsidP="00472E2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4" w:history="1">
        <w:r w:rsidR="00472E21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https://enrd.ec.europa.eu/news-events/news/fraud-risks-cap-payments_en</w:t>
        </w:r>
      </w:hyperlink>
    </w:p>
    <w:p w14:paraId="655F8D8E" w14:textId="77777777" w:rsidR="00ED5966" w:rsidRDefault="00ED5966" w:rsidP="00ED596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DC67720" w14:textId="25339CCD" w:rsidR="00ED5966" w:rsidRDefault="00ED5966" w:rsidP="00ED596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C58EC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45DB7">
        <w:rPr>
          <w:rFonts w:ascii="Times New Roman" w:eastAsia="Yu Gothic Medium" w:hAnsi="Times New Roman" w:cs="Times New Roman"/>
          <w:b/>
          <w:sz w:val="24"/>
          <w:szCs w:val="24"/>
        </w:rPr>
        <w:t xml:space="preserve">Wspólna Polityka Rolna - nowe systemy gromadzenia danych </w:t>
      </w:r>
    </w:p>
    <w:p w14:paraId="5D4CE93D" w14:textId="7197C7A5" w:rsidR="005C2466" w:rsidRDefault="005C2466" w:rsidP="005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07D62">
        <w:rPr>
          <w:rFonts w:ascii="Times New Roman" w:hAnsi="Times New Roman" w:cs="Times New Roman"/>
          <w:sz w:val="24"/>
          <w:szCs w:val="24"/>
        </w:rPr>
        <w:t xml:space="preserve">owe systemy gromadzenia danych Wspólnej Polityki Rolnej dla wyników środowiskowych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07D62">
        <w:rPr>
          <w:rFonts w:ascii="Times New Roman" w:hAnsi="Times New Roman" w:cs="Times New Roman"/>
          <w:sz w:val="24"/>
          <w:szCs w:val="24"/>
        </w:rPr>
        <w:t>i społecznych – sieć danych rachunkowych gospodarstw rolnych (FADN) państw członkowskich UE ma zostać przekształcona w Sieć Danych Zrównoważonego Rozwoju Gospodarstw Rolnych (FSDN). Dalszy rozwój wiedzy w zakresie danych w rolnictwie UE będzie wspierać bardziej wydajne dostosowanie działań na rzecz zrównoważonego rozwoju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E7112" w14:textId="77777777" w:rsidR="005C2466" w:rsidRDefault="005C2466" w:rsidP="005C246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6D2E765" w14:textId="3150D124" w:rsidR="005C2466" w:rsidRDefault="00661FAD" w:rsidP="005C246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5" w:history="1">
        <w:r w:rsidR="005C2466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https://enrd.ec.europa.eu/news-events/news/new-cap-data-collection-systems-environmental-and-social-results_en</w:t>
        </w:r>
      </w:hyperlink>
    </w:p>
    <w:p w14:paraId="0474215B" w14:textId="76305A46" w:rsidR="005C2466" w:rsidRDefault="005C2466" w:rsidP="005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6D99" w14:textId="0992E430" w:rsidR="006B7D36" w:rsidRPr="00107FB7" w:rsidRDefault="002C58EC" w:rsidP="006B7D3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6B7D36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B7D36" w:rsidRPr="00107FB7">
        <w:rPr>
          <w:rFonts w:ascii="Times New Roman" w:hAnsi="Times New Roman" w:cs="Times New Roman"/>
          <w:b/>
          <w:sz w:val="24"/>
          <w:szCs w:val="24"/>
        </w:rPr>
        <w:t>Współpraca na rzecz wzmocnienia odporności łańcuch</w:t>
      </w:r>
      <w:r w:rsidR="00DC530E">
        <w:rPr>
          <w:rFonts w:ascii="Times New Roman" w:hAnsi="Times New Roman" w:cs="Times New Roman"/>
          <w:b/>
          <w:sz w:val="24"/>
          <w:szCs w:val="24"/>
        </w:rPr>
        <w:t>a</w:t>
      </w:r>
      <w:r w:rsidR="006B7D36" w:rsidRPr="00107FB7">
        <w:rPr>
          <w:rFonts w:ascii="Times New Roman" w:hAnsi="Times New Roman" w:cs="Times New Roman"/>
          <w:b/>
          <w:sz w:val="24"/>
          <w:szCs w:val="24"/>
        </w:rPr>
        <w:t xml:space="preserve"> żywnościowego</w:t>
      </w:r>
    </w:p>
    <w:p w14:paraId="0E1D704F" w14:textId="01B8FE14" w:rsidR="006B7D36" w:rsidRDefault="006B7D36" w:rsidP="006B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B7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2D4429">
        <w:rPr>
          <w:rFonts w:ascii="Times New Roman" w:hAnsi="Times New Roman" w:cs="Times New Roman"/>
          <w:sz w:val="24"/>
          <w:szCs w:val="24"/>
        </w:rPr>
        <w:t xml:space="preserve">się </w:t>
      </w:r>
      <w:bookmarkStart w:id="2" w:name="_GoBack"/>
      <w:bookmarkEnd w:id="2"/>
      <w:r w:rsidRPr="00107FB7">
        <w:rPr>
          <w:rFonts w:ascii="Times New Roman" w:hAnsi="Times New Roman" w:cs="Times New Roman"/>
          <w:sz w:val="24"/>
          <w:szCs w:val="24"/>
        </w:rPr>
        <w:t>z artykułem analizującym kluczowe elementy dotyczące odporności łańcucha żywnościowego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FB7">
        <w:rPr>
          <w:rFonts w:ascii="Times New Roman" w:hAnsi="Times New Roman" w:cs="Times New Roman"/>
          <w:sz w:val="24"/>
          <w:szCs w:val="24"/>
        </w:rPr>
        <w:t xml:space="preserve"> związane z korzyściami płynącymi ze współpracy między jego podmiotami przy wsparciu 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A4591" w14:textId="77777777" w:rsidR="006B7D36" w:rsidRDefault="006B7D36" w:rsidP="006B7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79FB8E5C" w14:textId="77777777" w:rsidR="006B7D36" w:rsidRDefault="00661FAD" w:rsidP="006B7D3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6" w:history="1">
        <w:r w:rsidR="006B7D36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https://enrd.ec.europa.eu/news-events/news/cooperation-fosters-food-chain-resilience_en</w:t>
        </w:r>
      </w:hyperlink>
      <w:r w:rsidR="006B7D3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5433B558" w14:textId="5EC0D1B3" w:rsidR="006D04DD" w:rsidRDefault="006D04DD" w:rsidP="006D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47CD9" w14:textId="10440472" w:rsidR="00B715F9" w:rsidRPr="00107FB7" w:rsidRDefault="00B715F9" w:rsidP="00B715F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Nowe </w:t>
      </w:r>
      <w:r w:rsidR="001034AE">
        <w:rPr>
          <w:rFonts w:ascii="Times New Roman" w:hAnsi="Times New Roman" w:cs="Times New Roman"/>
          <w:b/>
          <w:sz w:val="24"/>
          <w:szCs w:val="24"/>
        </w:rPr>
        <w:t>podmioty</w:t>
      </w:r>
      <w:r>
        <w:rPr>
          <w:rFonts w:ascii="Times New Roman" w:hAnsi="Times New Roman" w:cs="Times New Roman"/>
          <w:b/>
          <w:sz w:val="24"/>
          <w:szCs w:val="24"/>
        </w:rPr>
        <w:t xml:space="preserve"> uznając</w:t>
      </w:r>
      <w:r w:rsidR="001034A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kodeks postępowania UE w zakresie odpowiedzialnego biz</w:t>
      </w:r>
      <w:r w:rsidR="001034AE">
        <w:rPr>
          <w:rFonts w:ascii="Times New Roman" w:hAnsi="Times New Roman" w:cs="Times New Roman"/>
          <w:b/>
          <w:sz w:val="24"/>
          <w:szCs w:val="24"/>
        </w:rPr>
        <w:t>nesu spożywczego i praktyk marketingowych</w:t>
      </w:r>
    </w:p>
    <w:p w14:paraId="696634D3" w14:textId="11056795" w:rsidR="001034AE" w:rsidRPr="00007D62" w:rsidRDefault="001034AE" w:rsidP="0010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się z nowymi danymi dotyczącymi podmiotów, </w:t>
      </w:r>
      <w:r w:rsidRPr="00007D62">
        <w:rPr>
          <w:rFonts w:ascii="Times New Roman" w:hAnsi="Times New Roman" w:cs="Times New Roman"/>
          <w:sz w:val="24"/>
          <w:szCs w:val="24"/>
        </w:rPr>
        <w:t xml:space="preserve">które zobowiązały się do przestrzegania kodeksu postępowania UE w zakresie odpowiedzialnego biznesu </w:t>
      </w:r>
      <w:r w:rsidRPr="00007D62">
        <w:rPr>
          <w:rFonts w:ascii="Times New Roman" w:hAnsi="Times New Roman" w:cs="Times New Roman"/>
          <w:sz w:val="24"/>
          <w:szCs w:val="24"/>
        </w:rPr>
        <w:lastRenderedPageBreak/>
        <w:t>spożywczego i praktyk marketingowych, który stanowi jeden z kluczowych elementów strategii „Od pola do stołu”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48769" w14:textId="77777777" w:rsidR="001034AE" w:rsidRDefault="001034AE" w:rsidP="001034A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639ACFA" w14:textId="4DA3848F" w:rsidR="006D04DD" w:rsidRDefault="00661FAD" w:rsidP="006D04D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7" w:history="1">
        <w:r w:rsidR="001034AE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https://enrd.ec.europa.eu/news-events/news/eu-code-conduct-responsible-food-business-and-marketing-practices-latest-figures_en</w:t>
        </w:r>
      </w:hyperlink>
    </w:p>
    <w:p w14:paraId="079AFC70" w14:textId="77777777" w:rsidR="00012645" w:rsidRDefault="00012645" w:rsidP="0001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372DE25C" w14:textId="689D7443" w:rsidR="00012645" w:rsidRDefault="002C58EC" w:rsidP="0001264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012645">
        <w:rPr>
          <w:rFonts w:ascii="Times New Roman" w:eastAsia="Yu Gothic Medium" w:hAnsi="Times New Roman" w:cs="Times New Roman"/>
          <w:b/>
          <w:sz w:val="24"/>
          <w:szCs w:val="24"/>
        </w:rPr>
        <w:t>I. Przedsiębiorcy na wsi - badanie</w:t>
      </w:r>
    </w:p>
    <w:p w14:paraId="09771FDD" w14:textId="2A82683B" w:rsidR="00012645" w:rsidRDefault="00012645" w:rsidP="0001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</w:t>
      </w:r>
      <w:r w:rsidR="009C165F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 badaniem w ramach projektu ERASMUS+ OREN, koncentrującego się na przedsiębiorcach działających na obszarach wiejskich.</w:t>
      </w:r>
    </w:p>
    <w:p w14:paraId="71717001" w14:textId="77777777" w:rsidR="00012645" w:rsidRDefault="00012645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1C6648D" w14:textId="43CFD01D" w:rsidR="00012645" w:rsidRPr="00012645" w:rsidRDefault="00661FAD" w:rsidP="0001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48" w:history="1">
        <w:r w:rsidR="00012645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https://enrd.ec.europa.eu/news-events/news/rural-entrepreneurs-erasmus-project-survey_en</w:t>
        </w:r>
      </w:hyperlink>
    </w:p>
    <w:p w14:paraId="4C4A4B77" w14:textId="24A2A0BF" w:rsidR="00012645" w:rsidRDefault="00012645" w:rsidP="0001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6D12A2A5" w14:textId="40A27271" w:rsidR="00E037B9" w:rsidRDefault="002C58EC" w:rsidP="00E037B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</w:t>
      </w:r>
      <w:r w:rsidR="00E037B9"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CC0EA3">
        <w:rPr>
          <w:rFonts w:ascii="Times New Roman" w:eastAsia="Yu Gothic Medium" w:hAnsi="Times New Roman" w:cs="Times New Roman"/>
          <w:b/>
          <w:sz w:val="24"/>
          <w:szCs w:val="24"/>
        </w:rPr>
        <w:t xml:space="preserve"> Finansowanie</w:t>
      </w:r>
      <w:r w:rsidR="00E037B9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CC0EA3">
        <w:rPr>
          <w:rFonts w:ascii="Times New Roman" w:eastAsia="Yu Gothic Medium" w:hAnsi="Times New Roman" w:cs="Times New Roman"/>
          <w:b/>
          <w:sz w:val="24"/>
          <w:szCs w:val="24"/>
        </w:rPr>
        <w:t>WPR a ł</w:t>
      </w:r>
      <w:r w:rsidR="00E037B9">
        <w:rPr>
          <w:rFonts w:ascii="Times New Roman" w:eastAsia="Yu Gothic Medium" w:hAnsi="Times New Roman" w:cs="Times New Roman"/>
          <w:b/>
          <w:sz w:val="24"/>
          <w:szCs w:val="24"/>
        </w:rPr>
        <w:t>agodzenie zmian klimatycznych w obszarze rolno-spożywczym</w:t>
      </w:r>
    </w:p>
    <w:p w14:paraId="162C3331" w14:textId="3277E7E3" w:rsidR="00E037B9" w:rsidRDefault="00E037B9" w:rsidP="00E0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 artykułem na temat pomiaru wkładu w łagodzenie zmian klimatycznych w obszarze działań rolno-spożywczych finansowanych ze środków Wspólnej Polityki Rolnej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69B33" w14:textId="77777777" w:rsidR="00E037B9" w:rsidRDefault="00E037B9" w:rsidP="00E037B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bookmarkStart w:id="3" w:name="_Hlk114745708"/>
      <w:r>
        <w:rPr>
          <w:rFonts w:eastAsiaTheme="minorHAnsi"/>
          <w:b/>
          <w:lang w:eastAsia="en-US"/>
        </w:rPr>
        <w:t>Więcej na ten temat:</w:t>
      </w:r>
    </w:p>
    <w:bookmarkEnd w:id="3"/>
    <w:p w14:paraId="1BCFE13C" w14:textId="0D5D1367" w:rsidR="00E037B9" w:rsidRDefault="00E037B9" w:rsidP="00E037B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007D62">
        <w:fldChar w:fldCharType="begin"/>
      </w:r>
      <w:r w:rsidRPr="00007D62">
        <w:rPr>
          <w:rFonts w:ascii="Times New Roman" w:hAnsi="Times New Roman" w:cs="Times New Roman"/>
          <w:sz w:val="24"/>
          <w:szCs w:val="24"/>
        </w:rPr>
        <w:instrText xml:space="preserve"> HYPERLINK "https://enrd.ec.europa.eu/news-events/news/measuring-climate-mitigation-contributions-cap-funded-agri-food-action_en" </w:instrText>
      </w:r>
      <w:r w:rsidRPr="00007D62">
        <w:fldChar w:fldCharType="separate"/>
      </w:r>
      <w:r w:rsidRPr="00007D62">
        <w:rPr>
          <w:rStyle w:val="Hipercze"/>
          <w:rFonts w:ascii="Times New Roman" w:hAnsi="Times New Roman" w:cs="Times New Roman"/>
          <w:sz w:val="24"/>
          <w:szCs w:val="24"/>
        </w:rPr>
        <w:t>https://enrd.ec.europa.eu/news-events/news/measuring-climate-mitigation-contributions-cap-funded-agri-food-action_en</w:t>
      </w:r>
      <w:r w:rsidRPr="00007D62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</w:p>
    <w:p w14:paraId="5F444FF8" w14:textId="04B2F31A" w:rsidR="00CC0EA3" w:rsidRDefault="00CC0EA3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C38AFB4" w14:textId="330D4240" w:rsidR="00B27839" w:rsidRDefault="00B27839" w:rsidP="00B2783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C58EC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Zwiększenie wsparcie dla systemów ekologicznych w kontekście wyzwań politycznych</w:t>
      </w:r>
    </w:p>
    <w:p w14:paraId="6024E637" w14:textId="1D0FE24B" w:rsidR="00B27839" w:rsidRDefault="00B27839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 xml:space="preserve">z artykułem na temat korzyści płynących ze zwiększenia wsparcia dla systemów ekologicznych, jako formy produkcji agroekologicznej w kontekście sprostania wyzwaniom politycznym poprzez osiąganie zrównoważonych systemów rolnych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07D62">
        <w:rPr>
          <w:rFonts w:ascii="Times New Roman" w:hAnsi="Times New Roman" w:cs="Times New Roman"/>
          <w:sz w:val="24"/>
          <w:szCs w:val="24"/>
        </w:rPr>
        <w:t>i żywnościowych w Europie.</w:t>
      </w:r>
    </w:p>
    <w:p w14:paraId="556EFB3B" w14:textId="77777777" w:rsidR="00B27839" w:rsidRDefault="00B27839" w:rsidP="00B2783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84857FC" w14:textId="1EC098D2" w:rsidR="00B27839" w:rsidRDefault="00661FAD" w:rsidP="00CC0EA3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9" w:history="1">
        <w:r w:rsidR="00B27839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https://enrd.ec.europa.eu/news-events/news/eu-organic-policy-supports-agro-ecologys-expansion_en</w:t>
        </w:r>
      </w:hyperlink>
    </w:p>
    <w:p w14:paraId="5DB37B24" w14:textId="4C62B75E" w:rsidR="00B27839" w:rsidRDefault="00B27839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7A4B509" w14:textId="7CDC879E" w:rsidR="00961903" w:rsidRDefault="002C58EC" w:rsidP="0096190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961903">
        <w:rPr>
          <w:rFonts w:ascii="Times New Roman" w:eastAsia="Yu Gothic Medium" w:hAnsi="Times New Roman" w:cs="Times New Roman"/>
          <w:b/>
          <w:sz w:val="24"/>
          <w:szCs w:val="24"/>
        </w:rPr>
        <w:t>. EF</w:t>
      </w:r>
      <w:r w:rsidR="00A0517D">
        <w:rPr>
          <w:rFonts w:ascii="Times New Roman" w:eastAsia="Yu Gothic Medium" w:hAnsi="Times New Roman" w:cs="Times New Roman"/>
          <w:b/>
          <w:sz w:val="24"/>
          <w:szCs w:val="24"/>
        </w:rPr>
        <w:t>R</w:t>
      </w:r>
      <w:r w:rsidR="00961903">
        <w:rPr>
          <w:rFonts w:ascii="Times New Roman" w:eastAsia="Yu Gothic Medium" w:hAnsi="Times New Roman" w:cs="Times New Roman"/>
          <w:b/>
          <w:sz w:val="24"/>
          <w:szCs w:val="24"/>
        </w:rPr>
        <w:t xml:space="preserve">ROW </w:t>
      </w:r>
      <w:r w:rsidR="002636C9">
        <w:rPr>
          <w:rFonts w:ascii="Times New Roman" w:eastAsia="Yu Gothic Medium" w:hAnsi="Times New Roman" w:cs="Times New Roman"/>
          <w:b/>
          <w:sz w:val="24"/>
          <w:szCs w:val="24"/>
        </w:rPr>
        <w:t>–</w:t>
      </w:r>
      <w:r w:rsidR="00961903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2636C9">
        <w:rPr>
          <w:rFonts w:ascii="Times New Roman" w:eastAsia="Yu Gothic Medium" w:hAnsi="Times New Roman" w:cs="Times New Roman"/>
          <w:b/>
          <w:sz w:val="24"/>
          <w:szCs w:val="24"/>
        </w:rPr>
        <w:t>„</w:t>
      </w:r>
      <w:r w:rsidR="00961903">
        <w:rPr>
          <w:rFonts w:ascii="Times New Roman" w:eastAsia="Yu Gothic Medium" w:hAnsi="Times New Roman" w:cs="Times New Roman"/>
          <w:b/>
          <w:sz w:val="24"/>
          <w:szCs w:val="24"/>
        </w:rPr>
        <w:t>Młodzież wiejska jako liderzy zmian</w:t>
      </w:r>
      <w:r w:rsidR="002636C9">
        <w:rPr>
          <w:rFonts w:ascii="Times New Roman" w:eastAsia="Yu Gothic Medium" w:hAnsi="Times New Roman" w:cs="Times New Roman"/>
          <w:b/>
          <w:sz w:val="24"/>
          <w:szCs w:val="24"/>
        </w:rPr>
        <w:t>”</w:t>
      </w:r>
    </w:p>
    <w:p w14:paraId="762C6FA9" w14:textId="5E37A5D7" w:rsidR="00E960F5" w:rsidRDefault="00961903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 broszurą na temat projektów EFRROW pt. „Młodzież wiejska jako liderzy zmian”</w:t>
      </w:r>
      <w:r w:rsidR="00E960F5">
        <w:rPr>
          <w:rFonts w:ascii="Times New Roman" w:hAnsi="Times New Roman" w:cs="Times New Roman"/>
          <w:sz w:val="24"/>
          <w:szCs w:val="24"/>
        </w:rPr>
        <w:t>.</w:t>
      </w:r>
    </w:p>
    <w:p w14:paraId="3274E9DD" w14:textId="1C2297F6" w:rsidR="00E960F5" w:rsidRPr="00E960F5" w:rsidRDefault="00E960F5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8BD7E1F" w14:textId="614D93C0" w:rsidR="00E960F5" w:rsidRDefault="00661FAD" w:rsidP="00CC0EA3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0" w:history="1">
        <w:r w:rsidR="00E960F5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https://enrd.ec.europa.eu/news-events/news/eafrd-projects-brochure-rural-youth-leaders-change-available-6-languages_en</w:t>
        </w:r>
      </w:hyperlink>
    </w:p>
    <w:p w14:paraId="782A1067" w14:textId="77777777" w:rsidR="00E960F5" w:rsidRDefault="00E960F5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74048F7" w14:textId="2E472F59" w:rsidR="005600E9" w:rsidRDefault="002C58EC" w:rsidP="005600E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5600E9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974C0D">
        <w:rPr>
          <w:rFonts w:ascii="Times New Roman" w:eastAsia="Yu Gothic Medium" w:hAnsi="Times New Roman" w:cs="Times New Roman"/>
          <w:b/>
          <w:sz w:val="24"/>
          <w:szCs w:val="24"/>
        </w:rPr>
        <w:t xml:space="preserve">Nowe wydanie magazynu </w:t>
      </w:r>
      <w:r w:rsidR="00961903">
        <w:rPr>
          <w:rFonts w:ascii="Times New Roman" w:eastAsia="Yu Gothic Medium" w:hAnsi="Times New Roman" w:cs="Times New Roman"/>
          <w:b/>
          <w:sz w:val="24"/>
          <w:szCs w:val="24"/>
        </w:rPr>
        <w:t xml:space="preserve">pt. </w:t>
      </w:r>
      <w:r w:rsidR="00974C0D">
        <w:rPr>
          <w:rFonts w:ascii="Times New Roman" w:eastAsia="Yu Gothic Medium" w:hAnsi="Times New Roman" w:cs="Times New Roman"/>
          <w:b/>
          <w:sz w:val="24"/>
          <w:szCs w:val="24"/>
        </w:rPr>
        <w:t>„Rural Connections”</w:t>
      </w:r>
    </w:p>
    <w:p w14:paraId="5644BA83" w14:textId="5EAC1D97" w:rsidR="005600E9" w:rsidRDefault="00974C0D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 xml:space="preserve">z kolejnym wydaniem magazynu </w:t>
      </w:r>
      <w:r w:rsidR="00961903">
        <w:rPr>
          <w:rFonts w:ascii="Times New Roman" w:hAnsi="Times New Roman" w:cs="Times New Roman"/>
          <w:sz w:val="24"/>
          <w:szCs w:val="24"/>
        </w:rPr>
        <w:t xml:space="preserve">pt.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07D62">
        <w:rPr>
          <w:rFonts w:ascii="Times New Roman" w:hAnsi="Times New Roman" w:cs="Times New Roman"/>
          <w:sz w:val="24"/>
          <w:szCs w:val="24"/>
        </w:rPr>
        <w:t>Rural Connections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07D62">
        <w:rPr>
          <w:rFonts w:ascii="Times New Roman" w:hAnsi="Times New Roman" w:cs="Times New Roman"/>
          <w:sz w:val="24"/>
          <w:szCs w:val="24"/>
        </w:rPr>
        <w:t>, podsumowującym aktualne informacje na temat prac ENRD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26610" w14:textId="77777777" w:rsidR="00974C0D" w:rsidRDefault="00974C0D" w:rsidP="00974C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7B5421E3" w14:textId="5C4B3A3F" w:rsidR="00974C0D" w:rsidRDefault="00661FAD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hyperlink r:id="rId51" w:history="1">
        <w:r w:rsidR="00974C0D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https://enrd.ec.europa.eu/news-events/news/rural-connections-2022-available-6-languages_en</w:t>
        </w:r>
      </w:hyperlink>
    </w:p>
    <w:p w14:paraId="03EC8A52" w14:textId="77777777" w:rsidR="005600E9" w:rsidRDefault="005600E9" w:rsidP="00CC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ABCCCBC" w14:textId="47964B77" w:rsidR="00CC0EA3" w:rsidRDefault="002C58EC" w:rsidP="00CC0EA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CC0EA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705D4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871E4F">
        <w:rPr>
          <w:rFonts w:ascii="Times New Roman" w:eastAsia="Yu Gothic Medium" w:hAnsi="Times New Roman" w:cs="Times New Roman"/>
          <w:b/>
          <w:sz w:val="24"/>
          <w:szCs w:val="24"/>
        </w:rPr>
        <w:t xml:space="preserve"> Podsumowanie prac grup tematycznych ENRD</w:t>
      </w:r>
    </w:p>
    <w:p w14:paraId="2197FFFD" w14:textId="243444F4" w:rsidR="00CC0EA3" w:rsidRDefault="0011625F" w:rsidP="00E0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z podsumowaniem dotychczasowych prac grup tematycznych ENRD.</w:t>
      </w:r>
    </w:p>
    <w:p w14:paraId="7B8AD2DA" w14:textId="77777777" w:rsidR="0011625F" w:rsidRDefault="0011625F" w:rsidP="0011625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E1A3AF3" w14:textId="007FB5D5" w:rsidR="0011625F" w:rsidRDefault="00661FAD" w:rsidP="00E037B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2" w:history="1">
        <w:r w:rsidR="0011625F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https://enrd.ec.europa.eu/news-events/news/enrd-thematic-group-round_en</w:t>
        </w:r>
      </w:hyperlink>
    </w:p>
    <w:p w14:paraId="3E6F6FBD" w14:textId="0446156B" w:rsidR="002636C9" w:rsidRDefault="002636C9" w:rsidP="00E037B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FB05602" w14:textId="77777777" w:rsidR="009C165F" w:rsidRDefault="009C165F" w:rsidP="00E037B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F49F475" w14:textId="7251CC85" w:rsidR="0011625F" w:rsidRDefault="002C58EC" w:rsidP="0011625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XII</w:t>
      </w:r>
      <w:r w:rsidR="0011625F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446C39">
        <w:rPr>
          <w:rFonts w:ascii="Times New Roman" w:eastAsia="Yu Gothic Medium" w:hAnsi="Times New Roman" w:cs="Times New Roman"/>
          <w:b/>
          <w:sz w:val="24"/>
          <w:szCs w:val="24"/>
        </w:rPr>
        <w:t>Nowe grupy tematyczne ENRD</w:t>
      </w:r>
    </w:p>
    <w:p w14:paraId="624C671B" w14:textId="0AEFC112" w:rsidR="0011625F" w:rsidRDefault="00764158" w:rsidP="00E0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z informacjami na temat nowych grup tematycznych:</w:t>
      </w:r>
    </w:p>
    <w:p w14:paraId="48F70903" w14:textId="77777777" w:rsidR="00D60CF9" w:rsidRDefault="00D60CF9" w:rsidP="00E0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E54F2" w14:textId="546FF994" w:rsidR="00D60CF9" w:rsidRDefault="00D60CF9" w:rsidP="00D60CF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CF9">
        <w:rPr>
          <w:rFonts w:ascii="Times New Roman" w:hAnsi="Times New Roman" w:cs="Times New Roman"/>
          <w:sz w:val="24"/>
          <w:szCs w:val="24"/>
        </w:rPr>
        <w:t>Grupa Tematyczna ds. Cech Krajobrazu i Różnorodności Biologicznej, która będzie skupiać się na działaniach zachęcających europejskich rolników do przestrzegania cech krajobrazu, jako wartości dodanej do ich działalności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676D5" w14:textId="6521F7FD" w:rsidR="00D60CF9" w:rsidRPr="00D60CF9" w:rsidRDefault="00661FAD" w:rsidP="00D60C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60CF9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https://enrd.ec.europa.eu/news-events/news/landscape-features-and-biodiversity-thematic-group_en</w:t>
        </w:r>
      </w:hyperlink>
    </w:p>
    <w:p w14:paraId="76EE44C5" w14:textId="71CD3FBD" w:rsidR="00764158" w:rsidRDefault="00D60CF9" w:rsidP="00D60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Tematyczna ds. Wzmacniania Pozycji Rolników w Łańcuchu Dostaw Żywności Ekologicznej.</w:t>
      </w:r>
    </w:p>
    <w:p w14:paraId="0DFD7291" w14:textId="52C47157" w:rsidR="00E037B9" w:rsidRDefault="00661FAD" w:rsidP="00D60CF9">
      <w:pPr>
        <w:pStyle w:val="Akapitzlist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hyperlink r:id="rId54" w:history="1">
        <w:r w:rsidR="00D60CF9" w:rsidRPr="00CE5254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https://enrd.ec.europa.eu/news-events/news/new-enrd-thematic-group-strengthening-position-farmers-organic-food-supply-chain_en</w:t>
        </w:r>
      </w:hyperlink>
      <w:r w:rsidR="00D60CF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3A6A3DD5" w14:textId="77777777" w:rsidR="00E037B9" w:rsidRDefault="00E037B9" w:rsidP="0001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24B79EB6" w14:textId="047E2C01" w:rsidR="00012645" w:rsidRDefault="00D60CF9" w:rsidP="0001264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XIV</w:t>
      </w:r>
      <w:r w:rsidR="00012645">
        <w:rPr>
          <w:rFonts w:ascii="Times New Roman" w:eastAsia="Yu Gothic Medium" w:hAnsi="Times New Roman" w:cs="Times New Roman"/>
          <w:b/>
          <w:sz w:val="24"/>
          <w:szCs w:val="24"/>
        </w:rPr>
        <w:t>. Raport z 2. spotkania Grupy Tematycznej ds. Weryfikacji Obszarów Wiejskich</w:t>
      </w:r>
    </w:p>
    <w:p w14:paraId="335060F1" w14:textId="4A7FDC1E" w:rsidR="00012645" w:rsidRDefault="00012645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Zapraszamy do zapoznania </w:t>
      </w:r>
      <w:r w:rsidR="009C165F">
        <w:rPr>
          <w:rFonts w:eastAsiaTheme="minorHAnsi"/>
          <w:lang w:eastAsia="en-US"/>
        </w:rPr>
        <w:t xml:space="preserve">się </w:t>
      </w:r>
      <w:r>
        <w:rPr>
          <w:rFonts w:eastAsiaTheme="minorHAnsi"/>
          <w:lang w:eastAsia="en-US"/>
        </w:rPr>
        <w:t>z raportem z 2. spotkania Grupy Tematycznej ds. Weryfikacji Obszarów Wiejskich.</w:t>
      </w:r>
    </w:p>
    <w:p w14:paraId="2DA3D990" w14:textId="77777777" w:rsidR="00012645" w:rsidRDefault="00012645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1DE4541" w14:textId="77777777" w:rsidR="00012645" w:rsidRPr="007E495F" w:rsidRDefault="00661FAD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55" w:history="1">
        <w:r w:rsidR="00012645" w:rsidRPr="00007D62">
          <w:rPr>
            <w:rStyle w:val="Hipercze"/>
            <w:rFonts w:eastAsiaTheme="majorEastAsia"/>
          </w:rPr>
          <w:t>https://enrd.ec.europa.eu/publications/2nd-meeting-thematic-group-rural-proofing-highlights-report_en</w:t>
        </w:r>
      </w:hyperlink>
      <w:r w:rsidR="00012645">
        <w:rPr>
          <w:rFonts w:eastAsiaTheme="minorHAnsi"/>
          <w:lang w:eastAsia="en-US"/>
        </w:rPr>
        <w:t xml:space="preserve"> </w:t>
      </w:r>
    </w:p>
    <w:p w14:paraId="47137D38" w14:textId="77777777" w:rsidR="00012645" w:rsidRDefault="00012645" w:rsidP="0001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1B7A66F" w14:textId="00E81066" w:rsidR="00012645" w:rsidRDefault="00D60CF9" w:rsidP="0001264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012645">
        <w:rPr>
          <w:rFonts w:ascii="Times New Roman" w:eastAsia="Yu Gothic Medium" w:hAnsi="Times New Roman" w:cs="Times New Roman"/>
          <w:b/>
          <w:sz w:val="24"/>
          <w:szCs w:val="24"/>
        </w:rPr>
        <w:t>. Raport z 2. spotkania Grupy Tematycznej ds. Praktycznego Zastosowania 7 Zasad LEADER</w:t>
      </w:r>
    </w:p>
    <w:p w14:paraId="0D78E00C" w14:textId="7493401E" w:rsidR="00012645" w:rsidRDefault="00012645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Zapraszamy do zapoznania </w:t>
      </w:r>
      <w:r w:rsidR="009C165F">
        <w:rPr>
          <w:rFonts w:eastAsiaTheme="minorHAnsi"/>
          <w:lang w:eastAsia="en-US"/>
        </w:rPr>
        <w:t xml:space="preserve">się </w:t>
      </w:r>
      <w:r>
        <w:rPr>
          <w:rFonts w:eastAsiaTheme="minorHAnsi"/>
          <w:lang w:eastAsia="en-US"/>
        </w:rPr>
        <w:t>z raportem z 2. spotkania Grupy Tematycznej ds. Praktycznego Zastosowania 7 Zasad LEADER we wszystkich LGD w ramach Planów Strategicznych WPR.</w:t>
      </w:r>
    </w:p>
    <w:p w14:paraId="7137D92A" w14:textId="77777777" w:rsidR="00012645" w:rsidRDefault="00012645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69311EE" w14:textId="77777777" w:rsidR="00012645" w:rsidRDefault="00661FAD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6" w:history="1">
        <w:r w:rsidR="00012645" w:rsidRPr="00007D62">
          <w:rPr>
            <w:rStyle w:val="Hipercze"/>
            <w:rFonts w:eastAsiaTheme="majorEastAsia"/>
          </w:rPr>
          <w:t>https://enrd.ec.europa.eu/publications/2nd-meeting-thematic-group-making-seven-leader-principles-work-practice-all-lags-under_en</w:t>
        </w:r>
      </w:hyperlink>
    </w:p>
    <w:p w14:paraId="2E992FDD" w14:textId="77777777" w:rsidR="00012645" w:rsidRDefault="00012645" w:rsidP="00012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0C89B" w14:textId="614A4A81" w:rsidR="00012645" w:rsidRPr="00107FB7" w:rsidRDefault="00D60CF9" w:rsidP="0001264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XVI</w:t>
      </w:r>
      <w:r w:rsidR="00012645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12645">
        <w:rPr>
          <w:rFonts w:ascii="Times New Roman" w:hAnsi="Times New Roman" w:cs="Times New Roman"/>
          <w:b/>
          <w:sz w:val="24"/>
          <w:szCs w:val="24"/>
        </w:rPr>
        <w:t>Podsumowanie 22. spotkania KSOW</w:t>
      </w:r>
    </w:p>
    <w:p w14:paraId="201CB076" w14:textId="6C5A0A1A" w:rsidR="00012645" w:rsidRDefault="00012645" w:rsidP="0001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z podsumowaniem z 22. spotkania Krajowych Sieci Obszarów Wiejskich.</w:t>
      </w:r>
    </w:p>
    <w:p w14:paraId="07AA63A8" w14:textId="77777777" w:rsidR="00012645" w:rsidRDefault="00012645" w:rsidP="000126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9D5E893" w14:textId="2EBDCDC5" w:rsidR="001034AE" w:rsidRPr="00007D62" w:rsidRDefault="00661FAD" w:rsidP="0001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012645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https://enrd.ec.europa.eu/news-events/events/22nd-nrn-meeting-networking-back-together-taking-stock-success-and-looking_en</w:t>
        </w:r>
      </w:hyperlink>
    </w:p>
    <w:p w14:paraId="2C75CA90" w14:textId="6A7632E0" w:rsidR="00CF5960" w:rsidRDefault="00CF5960" w:rsidP="0010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25F1F" w14:textId="77777777" w:rsidR="00746803" w:rsidRDefault="00746803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D147800" w14:textId="1A33A2C5" w:rsidR="00A3697C" w:rsidRDefault="00A3697C" w:rsidP="00B0405F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3D7361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-</w:t>
      </w: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COGECA Europejska Organizacja Zrzeszająca Rolnicze Związki Zawodowe i Organizacje Spółdzielcze</w:t>
      </w:r>
    </w:p>
    <w:p w14:paraId="654C628D" w14:textId="6D1FD8B5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13247FE" w14:textId="3B6BE5CB" w:rsidR="00A3697C" w:rsidRPr="009B2D0B" w:rsidRDefault="00A3697C" w:rsidP="00C72AD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7093A">
        <w:rPr>
          <w:rFonts w:ascii="Times New Roman" w:eastAsia="Yu Gothic Medium" w:hAnsi="Times New Roman" w:cs="Times New Roman"/>
          <w:b/>
          <w:sz w:val="24"/>
          <w:szCs w:val="24"/>
        </w:rPr>
        <w:t xml:space="preserve">Oświadczenie </w:t>
      </w:r>
      <w:r w:rsidR="007F477D">
        <w:rPr>
          <w:rFonts w:ascii="Times New Roman" w:eastAsia="Yu Gothic Medium" w:hAnsi="Times New Roman" w:cs="Times New Roman"/>
          <w:b/>
          <w:sz w:val="24"/>
          <w:szCs w:val="24"/>
        </w:rPr>
        <w:t xml:space="preserve">COPA-COGECA </w:t>
      </w:r>
      <w:r w:rsidR="007E4898">
        <w:rPr>
          <w:rFonts w:ascii="Times New Roman" w:eastAsia="Yu Gothic Medium" w:hAnsi="Times New Roman" w:cs="Times New Roman"/>
          <w:b/>
          <w:sz w:val="24"/>
          <w:szCs w:val="24"/>
        </w:rPr>
        <w:t>w sprawie sprawozdania Komisji Europejskiej nt. Strategii Leśnej do roku 2030</w:t>
      </w:r>
    </w:p>
    <w:p w14:paraId="5C806204" w14:textId="5DC07D3D" w:rsidR="007E4898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 oświadczeniem COPA</w:t>
      </w:r>
      <w:r w:rsidR="008806F3">
        <w:rPr>
          <w:rFonts w:ascii="Times New Roman" w:hAnsi="Times New Roman" w:cs="Times New Roman"/>
          <w:sz w:val="24"/>
          <w:szCs w:val="24"/>
        </w:rPr>
        <w:t>-</w:t>
      </w:r>
      <w:r w:rsidRPr="00007D62">
        <w:rPr>
          <w:rFonts w:ascii="Times New Roman" w:hAnsi="Times New Roman" w:cs="Times New Roman"/>
          <w:sz w:val="24"/>
          <w:szCs w:val="24"/>
        </w:rPr>
        <w:t>COGECA ws. sprawozdania Komisji AGRI PE dotyczącego Unijnej Strategii Leśnej do roku 2030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0B173" w14:textId="1C853914" w:rsidR="007E4898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prasowych:</w:t>
      </w:r>
    </w:p>
    <w:p w14:paraId="3DEB65B8" w14:textId="454B759D" w:rsidR="007E4898" w:rsidRDefault="00661FAD" w:rsidP="007E48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8" w:history="1">
        <w:r w:rsidR="007E4898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7E98ED50" w14:textId="3C916BB8" w:rsidR="00B66AA4" w:rsidRDefault="00B66AA4" w:rsidP="00A3697C">
      <w:pPr>
        <w:autoSpaceDE w:val="0"/>
        <w:autoSpaceDN w:val="0"/>
        <w:adjustRightInd w:val="0"/>
        <w:spacing w:after="0" w:line="240" w:lineRule="auto"/>
        <w:jc w:val="both"/>
      </w:pPr>
    </w:p>
    <w:p w14:paraId="31DE5487" w14:textId="395D7AFD" w:rsidR="009C165F" w:rsidRDefault="009C165F" w:rsidP="00A3697C">
      <w:pPr>
        <w:autoSpaceDE w:val="0"/>
        <w:autoSpaceDN w:val="0"/>
        <w:adjustRightInd w:val="0"/>
        <w:spacing w:after="0" w:line="240" w:lineRule="auto"/>
        <w:jc w:val="both"/>
      </w:pPr>
    </w:p>
    <w:p w14:paraId="5243FB60" w14:textId="150F65F3" w:rsidR="009C165F" w:rsidRDefault="009C165F" w:rsidP="00A3697C">
      <w:pPr>
        <w:autoSpaceDE w:val="0"/>
        <w:autoSpaceDN w:val="0"/>
        <w:adjustRightInd w:val="0"/>
        <w:spacing w:after="0" w:line="240" w:lineRule="auto"/>
        <w:jc w:val="both"/>
      </w:pPr>
    </w:p>
    <w:p w14:paraId="0AC6C71D" w14:textId="77777777" w:rsidR="009C165F" w:rsidRDefault="009C165F" w:rsidP="00A3697C">
      <w:pPr>
        <w:autoSpaceDE w:val="0"/>
        <w:autoSpaceDN w:val="0"/>
        <w:adjustRightInd w:val="0"/>
        <w:spacing w:after="0" w:line="240" w:lineRule="auto"/>
        <w:jc w:val="both"/>
      </w:pPr>
    </w:p>
    <w:p w14:paraId="79B5B74E" w14:textId="255C7CCA" w:rsidR="00DD4A47" w:rsidRDefault="00A3697C" w:rsidP="0069586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II. </w:t>
      </w:r>
      <w:r w:rsidR="007E4898">
        <w:rPr>
          <w:rFonts w:ascii="Times New Roman" w:eastAsia="Yu Gothic Medium" w:hAnsi="Times New Roman" w:cs="Times New Roman"/>
          <w:b/>
          <w:sz w:val="24"/>
          <w:szCs w:val="24"/>
        </w:rPr>
        <w:t>Wspólne oświadczenie partnerów UE dot. głosowania Komisji ITRE</w:t>
      </w:r>
    </w:p>
    <w:p w14:paraId="24F77B8C" w14:textId="6D3A9057" w:rsidR="007E4898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ze wspólnym oświadczeniem partnerów UE w sektorze biopaliw, żywności i łańcucha paszowego dotyczącym głosowania Komisji ITRE w sprawie zachowania kluczowej roli biopaliw pochodzących z upraw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9F713" w14:textId="77777777" w:rsidR="007E4898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prasowych:</w:t>
      </w:r>
    </w:p>
    <w:p w14:paraId="13A84EE0" w14:textId="06D160FB" w:rsidR="007E4898" w:rsidRDefault="00661FAD" w:rsidP="007E48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9" w:history="1">
        <w:r w:rsidR="007E4898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29822E90" w14:textId="77777777" w:rsidR="009C165F" w:rsidRDefault="009C165F" w:rsidP="007E48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CE2BCCA" w14:textId="27EBD088" w:rsidR="007E4898" w:rsidRDefault="007E4898" w:rsidP="007E489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="0013046D">
        <w:rPr>
          <w:rFonts w:ascii="Times New Roman" w:eastAsia="Yu Gothic Medium" w:hAnsi="Times New Roman" w:cs="Times New Roman"/>
          <w:b/>
          <w:sz w:val="24"/>
          <w:szCs w:val="24"/>
        </w:rPr>
        <w:t>Stanowisko COPA-COGECA ws. decyzji Komisji Europejskiej o tymczasowym zniesieniu ceł na nawozy</w:t>
      </w:r>
    </w:p>
    <w:p w14:paraId="161BACB3" w14:textId="04C3860D" w:rsidR="00FE0854" w:rsidRPr="00007D62" w:rsidRDefault="0013046D" w:rsidP="0013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E0854" w:rsidRPr="00007D62">
        <w:rPr>
          <w:rFonts w:ascii="Times New Roman" w:hAnsi="Times New Roman" w:cs="Times New Roman"/>
          <w:sz w:val="24"/>
          <w:szCs w:val="24"/>
        </w:rPr>
        <w:t>apraszamy do zapoznania</w:t>
      </w:r>
      <w:r w:rsidR="009C165F">
        <w:rPr>
          <w:rFonts w:ascii="Times New Roman" w:hAnsi="Times New Roman" w:cs="Times New Roman"/>
          <w:sz w:val="24"/>
          <w:szCs w:val="24"/>
        </w:rPr>
        <w:t xml:space="preserve"> się</w:t>
      </w:r>
      <w:r w:rsidR="00FE0854" w:rsidRPr="00007D62">
        <w:rPr>
          <w:rFonts w:ascii="Times New Roman" w:hAnsi="Times New Roman" w:cs="Times New Roman"/>
          <w:sz w:val="24"/>
          <w:szCs w:val="24"/>
        </w:rPr>
        <w:t xml:space="preserve"> ze stanowiskiem COPA</w:t>
      </w:r>
      <w:r w:rsidR="00FE0854">
        <w:rPr>
          <w:rFonts w:ascii="Times New Roman" w:hAnsi="Times New Roman" w:cs="Times New Roman"/>
          <w:sz w:val="24"/>
          <w:szCs w:val="24"/>
        </w:rPr>
        <w:t>-</w:t>
      </w:r>
      <w:r w:rsidR="00FE0854" w:rsidRPr="00007D62">
        <w:rPr>
          <w:rFonts w:ascii="Times New Roman" w:hAnsi="Times New Roman" w:cs="Times New Roman"/>
          <w:sz w:val="24"/>
          <w:szCs w:val="24"/>
        </w:rPr>
        <w:t>COGECA dotyczącym decyzji Komisji Europejskiej o tymczasowym zniesieniu ceł nałożonych na nawozy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3F26C" w14:textId="77777777" w:rsidR="0013046D" w:rsidRDefault="0013046D" w:rsidP="0013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prasowych:</w:t>
      </w:r>
    </w:p>
    <w:p w14:paraId="7527E356" w14:textId="77777777" w:rsidR="0013046D" w:rsidRDefault="00661FAD" w:rsidP="0013046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0" w:history="1">
        <w:r w:rsidR="0013046D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04BF9DB4" w14:textId="77777777" w:rsidR="00A70787" w:rsidRDefault="00A70787" w:rsidP="00A7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1B2B8" w14:textId="2787A6AC" w:rsidR="00A70787" w:rsidRDefault="00A70787" w:rsidP="00A7078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Stanowisko COPA-COGECA ws. wniosku Komisji Europejskiej dotyczącym odstępstw od warunkowości WPR</w:t>
      </w:r>
    </w:p>
    <w:p w14:paraId="71518234" w14:textId="7C0110DF" w:rsidR="00A70787" w:rsidRPr="00007D62" w:rsidRDefault="00A70787" w:rsidP="00A7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Pr="00007D62">
        <w:rPr>
          <w:rFonts w:ascii="Times New Roman" w:hAnsi="Times New Roman" w:cs="Times New Roman"/>
          <w:sz w:val="24"/>
          <w:szCs w:val="24"/>
        </w:rPr>
        <w:t>ze stanowiskiem COPA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D62">
        <w:rPr>
          <w:rFonts w:ascii="Times New Roman" w:hAnsi="Times New Roman" w:cs="Times New Roman"/>
          <w:sz w:val="24"/>
          <w:szCs w:val="24"/>
        </w:rPr>
        <w:t>COGECA dotyczącym wniosku Komisji Europejskiej w zakresie odstępstw od stosowania warunkowości W</w:t>
      </w:r>
      <w:r>
        <w:rPr>
          <w:rFonts w:ascii="Times New Roman" w:hAnsi="Times New Roman" w:cs="Times New Roman"/>
          <w:sz w:val="24"/>
          <w:szCs w:val="24"/>
        </w:rPr>
        <w:t xml:space="preserve">spólnej </w:t>
      </w:r>
      <w:r w:rsidRPr="00007D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olityki </w:t>
      </w:r>
      <w:r w:rsidRPr="00007D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olnej.</w:t>
      </w:r>
    </w:p>
    <w:p w14:paraId="0D2B4138" w14:textId="77777777" w:rsidR="00A70787" w:rsidRDefault="00A70787" w:rsidP="00A70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prasowych:</w:t>
      </w:r>
    </w:p>
    <w:p w14:paraId="4F71B5B8" w14:textId="77777777" w:rsidR="00A70787" w:rsidRDefault="00661FAD" w:rsidP="00A7078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1" w:history="1">
        <w:r w:rsidR="00A70787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2FBD2C6B" w14:textId="2296EF48" w:rsidR="00961A66" w:rsidRDefault="00961A66" w:rsidP="00A7078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AFA9" w14:textId="7C142814" w:rsidR="00A70787" w:rsidRDefault="00A70787" w:rsidP="00A7078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V. Stanowisko organizacji </w:t>
      </w:r>
      <w:r w:rsidR="00683085">
        <w:rPr>
          <w:rFonts w:ascii="Times New Roman" w:eastAsia="Yu Gothic Medium" w:hAnsi="Times New Roman" w:cs="Times New Roman"/>
          <w:b/>
          <w:sz w:val="24"/>
          <w:szCs w:val="24"/>
        </w:rPr>
        <w:t>sektora rolno-spożywczego ws. uznania sektora za krytyczny dla bezpieczeństwa energetycznego</w:t>
      </w:r>
    </w:p>
    <w:p w14:paraId="1366688A" w14:textId="78579E84" w:rsidR="00A70787" w:rsidRDefault="00755274" w:rsidP="00A7078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526A7" w:rsidRPr="00007D62">
        <w:rPr>
          <w:rFonts w:ascii="Times New Roman" w:hAnsi="Times New Roman" w:cs="Times New Roman"/>
          <w:sz w:val="24"/>
          <w:szCs w:val="24"/>
        </w:rPr>
        <w:t xml:space="preserve">apraszamy do zapoznania </w:t>
      </w:r>
      <w:r w:rsidR="009C165F">
        <w:rPr>
          <w:rFonts w:ascii="Times New Roman" w:hAnsi="Times New Roman" w:cs="Times New Roman"/>
          <w:sz w:val="24"/>
          <w:szCs w:val="24"/>
        </w:rPr>
        <w:t xml:space="preserve">się </w:t>
      </w:r>
      <w:r w:rsidR="00B526A7" w:rsidRPr="00007D62">
        <w:rPr>
          <w:rFonts w:ascii="Times New Roman" w:hAnsi="Times New Roman" w:cs="Times New Roman"/>
          <w:sz w:val="24"/>
          <w:szCs w:val="24"/>
        </w:rPr>
        <w:t>ze stanowiskiem organizacji sektora rolno-spożywczego, dotyczącym konieczności uznania sektora za krytyczny w kontekście zapewnienia podmiotom bezpieczeństwa dostaw energii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A4277" w14:textId="77777777" w:rsidR="00755274" w:rsidRDefault="00755274" w:rsidP="0075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prasowych:</w:t>
      </w:r>
    </w:p>
    <w:p w14:paraId="0E44925F" w14:textId="77777777" w:rsidR="00755274" w:rsidRDefault="00661FAD" w:rsidP="0075527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2" w:history="1">
        <w:r w:rsidR="00755274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589AEB6F" w14:textId="77777777" w:rsidR="00BD4E9E" w:rsidRDefault="00BD4E9E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E3740" w14:textId="1CE6F18A" w:rsidR="004030D4" w:rsidRDefault="004030D4" w:rsidP="004030D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VI. Stanowisko organizacji sektora rolno-spożywczego ws. zagrożeń związanych z cenami energii oraz skutkami zmian klimatycznych</w:t>
      </w:r>
    </w:p>
    <w:p w14:paraId="4FCFA33B" w14:textId="63377C91" w:rsidR="004030D4" w:rsidRDefault="004030D4" w:rsidP="004030D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r w:rsidRPr="004030D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apraszamy do zapoznania </w:t>
      </w:r>
      <w:r w:rsidR="009C165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się </w:t>
      </w:r>
      <w:r w:rsidRPr="004030D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ze wspólnym stanowiskiem COPA</w:t>
      </w:r>
      <w:r w:rsidR="00B722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Pr="004030D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COGECA, Primary Food Processors oraz Food Drink Europe na temat zagrożeń dla unijnych podmiotów rolno-spożywczych spowodowanych wzrastającymi cenami energii elektrycznej oraz skutkami zmian klimatycznych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A1EB009" w14:textId="77777777" w:rsidR="004030D4" w:rsidRDefault="004030D4" w:rsidP="0040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prasowych:</w:t>
      </w:r>
    </w:p>
    <w:p w14:paraId="66542056" w14:textId="77777777" w:rsidR="004030D4" w:rsidRDefault="00661FAD" w:rsidP="004030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3" w:history="1">
        <w:r w:rsidR="004030D4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1F6DD699" w14:textId="77777777" w:rsidR="004030D4" w:rsidRDefault="004030D4" w:rsidP="00961A66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647396B" w14:textId="77777777" w:rsidR="00961A66" w:rsidRDefault="00961A66" w:rsidP="00961A66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Akty prawne</w:t>
      </w:r>
    </w:p>
    <w:p w14:paraId="4572825B" w14:textId="77777777" w:rsidR="00961A66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FB7A5" w14:textId="53C38EA3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ROZPORZĄDZENIA</w:t>
      </w:r>
    </w:p>
    <w:p w14:paraId="1043F5B5" w14:textId="77777777" w:rsidR="0056686F" w:rsidRDefault="0056686F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FD185E" w14:textId="01A7EBA2" w:rsidR="00961A66" w:rsidRPr="00A35096" w:rsidRDefault="008400E2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350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Sprostowanie </w:t>
      </w:r>
      <w:bookmarkStart w:id="4" w:name="_Hlk114751116"/>
      <w:r w:rsidRPr="00A35096">
        <w:rPr>
          <w:rFonts w:ascii="Times New Roman" w:hAnsi="Times New Roman" w:cs="Times New Roman"/>
          <w:sz w:val="24"/>
          <w:szCs w:val="24"/>
        </w:rPr>
        <w:t xml:space="preserve">do rozporządzenia Parlamentu Europejskiego i Rady (UE) 2021/2115 </w:t>
      </w:r>
      <w:r w:rsidR="004C5AE2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z dnia 2 grudnia 2021 r. ustanawiającego przepisy dotyczące wsparcia planów strategicznych sporządzanych przez państwa członkowskie w ramach wspólnej polityki rolnej (planów strategicznych WPR)i finansowanych z Europejskiego Funduszu Rolniczego Gwarancji (EFRG) i z Europejskiego Funduszu Rolnego na rzecz Rozwoju Obszarów Wiejskich (EFRROW) oraz uchylającego rozporządzenia (UE) nr 1305/2013 i (UE) nr 1307/2013</w:t>
      </w:r>
      <w:bookmarkEnd w:id="4"/>
      <w:r w:rsidR="003E2479" w:rsidRPr="00A35096">
        <w:rPr>
          <w:rFonts w:ascii="Times New Roman" w:hAnsi="Times New Roman" w:cs="Times New Roman"/>
          <w:sz w:val="24"/>
          <w:szCs w:val="24"/>
        </w:rPr>
        <w:t>.</w:t>
      </w:r>
    </w:p>
    <w:p w14:paraId="6E9CA031" w14:textId="77777777" w:rsidR="00961A66" w:rsidRPr="0056686F" w:rsidRDefault="00961A66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6F"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5102370A" w14:textId="35B41CB6" w:rsidR="00961A66" w:rsidRP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4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https://eur-lex.europa.eu/legal-content/PL/TXT/PDF/?uri=CELEX:32021R2115R(02)&amp;qid=1660730180851&amp;from=EN</w:t>
        </w:r>
      </w:hyperlink>
    </w:p>
    <w:p w14:paraId="2DD9628B" w14:textId="77777777" w:rsidR="003E2479" w:rsidRDefault="003E247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A354" w14:textId="3EA3C6B2" w:rsidR="00BF35A6" w:rsidRPr="00A35096" w:rsidRDefault="003E2479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Sprostowanie do rozporządzenia wykonawczego Komisji (UE) 2022/892 z dnia </w:t>
      </w:r>
      <w:r w:rsidRPr="00A35096">
        <w:rPr>
          <w:rFonts w:ascii="Times New Roman" w:hAnsi="Times New Roman" w:cs="Times New Roman"/>
          <w:sz w:val="24"/>
          <w:szCs w:val="24"/>
        </w:rPr>
        <w:br/>
        <w:t>1 kwietnia 2022 r. zmieniającego rozporządzenie wykonawcze (UE) nr 668/2014 ustanawiające zasady stosowania rozporządzenia Parlamentu Europejskiego i Rady (UE)</w:t>
      </w:r>
      <w:r w:rsidR="00A35096">
        <w:rPr>
          <w:rFonts w:ascii="Times New Roman" w:hAnsi="Times New Roman" w:cs="Times New Roman"/>
          <w:sz w:val="24"/>
          <w:szCs w:val="24"/>
        </w:rPr>
        <w:t xml:space="preserve"> </w:t>
      </w:r>
      <w:r w:rsidRPr="00A35096">
        <w:rPr>
          <w:rFonts w:ascii="Times New Roman" w:hAnsi="Times New Roman" w:cs="Times New Roman"/>
          <w:sz w:val="24"/>
          <w:szCs w:val="24"/>
        </w:rPr>
        <w:t>nr 1151/2012 w sprawie systemów jakości produktów rolnych i środków spożywczych.</w:t>
      </w:r>
    </w:p>
    <w:p w14:paraId="2447182F" w14:textId="567792DF" w:rsidR="003E2479" w:rsidRPr="0056686F" w:rsidRDefault="003E2479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6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44A6B83" w14:textId="26EE5CBE" w:rsidR="003E2479" w:rsidRDefault="00661FAD" w:rsidP="00A3509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https://eur-lex.europa.eu/legal-content/PL/TXT/PDF/?uri=CELEX:32022R0892R(01)&amp;qid=1660730180851&amp;from=EN</w:t>
        </w:r>
      </w:hyperlink>
    </w:p>
    <w:p w14:paraId="1A26938F" w14:textId="77777777" w:rsidR="0056686F" w:rsidRPr="0056686F" w:rsidRDefault="0056686F" w:rsidP="0056686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C02255E" w14:textId="00F3FF5A" w:rsidR="003E2479" w:rsidRPr="00A35096" w:rsidRDefault="003E2479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2022/1160 zmieniające rozporządzenie wykonawcze (UE) 2017/2470 w odniesieniu do warunków stosowania i specyfikacji nowej żywności chlorek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rybozydu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nikotynamidu.</w:t>
      </w:r>
    </w:p>
    <w:p w14:paraId="7921FFDD" w14:textId="77777777" w:rsidR="003E2479" w:rsidRPr="0056686F" w:rsidRDefault="003E2479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6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77E07C3" w14:textId="49833C07" w:rsidR="003E2479" w:rsidRP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6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https://eur-lex.europa.eu/legal-content/PL/TXT/PDF/?uri=CELEX:32022R1160&amp;qid=1660730180851&amp;from=EN</w:t>
        </w:r>
      </w:hyperlink>
    </w:p>
    <w:p w14:paraId="4AEF1F1B" w14:textId="1A35E936" w:rsidR="003E2479" w:rsidRDefault="003E2479" w:rsidP="003E247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14088E5" w14:textId="1F356477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2022/1185 udzielające pozwolenia unijnego na rodzinę produktów biobójczych „Contec Hydrogen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Peroxide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Biocidal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Product Family”.</w:t>
      </w:r>
    </w:p>
    <w:p w14:paraId="2023D799" w14:textId="77777777" w:rsidR="0056686F" w:rsidRP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6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E5BDE5A" w14:textId="0D1BE867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7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https://eur-lex.europa.eu/legal-content/PL/TXT/PDF/?uri=CELEX:32022R1185&amp;qid=1660730180851&amp;from=EN</w:t>
        </w:r>
      </w:hyperlink>
    </w:p>
    <w:p w14:paraId="42069FF8" w14:textId="1333B88D" w:rsidR="0056686F" w:rsidRDefault="0056686F" w:rsidP="003E247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16DB960" w14:textId="77777777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2022/1196 zmieniające załącznik I do rozporządzenia wykonawczego (UE) 2021/605 ustanawiającego szczególne środki zwalczania afrykańskiego pomoru świń.</w:t>
      </w:r>
    </w:p>
    <w:p w14:paraId="1BC51B87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8C023B7" w14:textId="7A1C78F4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8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https://eur-lex.europa.eu/legal-content/PL/TXT/PDF/?uri=CELEX:32022R1196&amp;qid=1660730180851&amp;from=EN</w:t>
        </w:r>
      </w:hyperlink>
    </w:p>
    <w:p w14:paraId="2C437CC2" w14:textId="77777777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5523" w14:textId="588F6903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2022/1186 udzielające pozwolenia unijnego na rodzinę produktów biobójczych „L+R Propanol PT1 Family”.</w:t>
      </w:r>
    </w:p>
    <w:p w14:paraId="10BC73E1" w14:textId="00074922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28D449D" w14:textId="79AB583D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9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https://eur-lex.europa.eu/legal-content/PL/TXT/PDF/?uri=CELEX:32022R1186&amp;qid=1660730180851&amp;from=EN</w:t>
        </w:r>
      </w:hyperlink>
    </w:p>
    <w:p w14:paraId="535EBEBB" w14:textId="74C7E46C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2F0EE" w14:textId="54642457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2022/1203 zmieniające rozporządzenie wykonawcze (UE) 2016/1141 w celu aktualizacji wykazu inwazyjnych gatunków obcych stwarzających zagrożenie dla Unii.</w:t>
      </w:r>
    </w:p>
    <w:p w14:paraId="20D2F101" w14:textId="2A82FA79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DCFB7EA" w14:textId="044C6AB4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0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https://eur-lex.europa.eu/legal-content/PL/TXT/PDF/?uri=CELEX:32022R1203&amp;qid=1660730180851&amp;from=EN</w:t>
        </w:r>
      </w:hyperlink>
    </w:p>
    <w:p w14:paraId="107B9A98" w14:textId="70E662CD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45421" w14:textId="0255D5D8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lastRenderedPageBreak/>
        <w:t xml:space="preserve">Rozporządzenie wykonawcze Komisji (UE) 2022/1232 udzielające pozwolenia unijnego na rodzinę produktów biobójczych „INTEROX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Biocidal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Product Family 1”.</w:t>
      </w:r>
    </w:p>
    <w:p w14:paraId="5B042D5C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1F9617D" w14:textId="580A4859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1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https://eur-lex.europa.eu/legal-content/PL/TXT/PDF/?uri=CELEX:32022R1232&amp;qid=1660730180851&amp;from=EN</w:t>
        </w:r>
      </w:hyperlink>
    </w:p>
    <w:p w14:paraId="374D442C" w14:textId="2A3D2287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26705" w14:textId="3B5F8C8A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2022/1247 dotyczące zezwolenia na stosowanie czerwieni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Allura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AC jako dodatku paszowego dla małych ssaków niesłużących do produkcji żywności i ptaków ozdobnych.</w:t>
      </w:r>
    </w:p>
    <w:p w14:paraId="5B0681F8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1694B68" w14:textId="6774F89F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2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https://eur-lex.europa.eu/legal-content/PL/TXT/PDF/?uri=CELEX:32022R1247&amp;qid=1660730180851&amp;from=EN</w:t>
        </w:r>
      </w:hyperlink>
    </w:p>
    <w:p w14:paraId="5FCA1C84" w14:textId="67B4DD13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21C0A" w14:textId="76042606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2022/1249 dotyczące zezwolenia na stosowanie witaminy B12 w postaci cyjanokobalaminy wytwarzanej przez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Ensifer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adhaerens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CNCM I-5541 jako dodatku paszowego dla wszystkich gatunków zwierząt.</w:t>
      </w:r>
    </w:p>
    <w:p w14:paraId="2256BBAC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833BE0D" w14:textId="083F8B01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3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https://eur-lex.europa.eu/legal-content/PL/TXT/PDF/?uri=CELEX:32022R1249&amp;from=EN</w:t>
        </w:r>
      </w:hyperlink>
    </w:p>
    <w:p w14:paraId="00C13A66" w14:textId="0FEA1BDF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BF210" w14:textId="5E488053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2022/1248 dotyczące zezwolenia na stosowanie olejku eterycznego z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Origanum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hirtum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(Link)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Ietsw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>. jako dodatku paszowego dla niektórych gatunków zwierząt.</w:t>
      </w:r>
    </w:p>
    <w:p w14:paraId="467D35F8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E6FEAAA" w14:textId="584C4340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4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https://eur-lex.europa.eu/legal-content/PL/TXT/PDF/?uri=CELEX:32022R1248&amp;from=EN</w:t>
        </w:r>
      </w:hyperlink>
    </w:p>
    <w:p w14:paraId="5C23A3B7" w14:textId="5E4C7D05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504FB" w14:textId="23EEA6A9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2022/1323 zmieniające rozporządzenie (WE) nr 1484/95 w odniesieniu do ustalania cen reprezentatywnych w sektorach mięsa drobiowego i jaj oraz w odniesieniu do albumin jaj.</w:t>
      </w:r>
    </w:p>
    <w:p w14:paraId="6AA55D98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57C5B64" w14:textId="55D37F3A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5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https://eur-lex.europa.eu/legal-content/PL/TXT/PDF/?uri=CELEX:32022R1323&amp;qid=1660730180851&amp;from=EN</w:t>
        </w:r>
      </w:hyperlink>
    </w:p>
    <w:p w14:paraId="2427B903" w14:textId="22F16515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263A8" w14:textId="431A6101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2022/1322 zmieniające rozporządzenie wykonawcze (UE) 2021/632 w odniesieniu do wykazów produktów pochodzenia zwierzęcego, produktów ubocznych pochodzenia zwierzęcego i produktów złożonych podlegających kontrolom urzędowym w punktach kontroli granicznej.</w:t>
      </w:r>
    </w:p>
    <w:p w14:paraId="23CCA2CF" w14:textId="77777777" w:rsidR="0056686F" w:rsidRDefault="0056686F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6083389" w14:textId="174A55AB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6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https://eur-lex.europa.eu/legal-content/PL/TXT/PDF/?uri=CELEX:32022R1322&amp;qid=1660730180851&amp;from=EN</w:t>
        </w:r>
      </w:hyperlink>
    </w:p>
    <w:p w14:paraId="0AF02E25" w14:textId="3B26EF60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CCDFE" w14:textId="571D5E8C" w:rsidR="0056686F" w:rsidRPr="00A35096" w:rsidRDefault="0056686F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2022/1391 udzielające pozwolenia unijnego na rodzinę produktów biobójczych „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Lactic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based products – CID Lines NV”.</w:t>
      </w:r>
    </w:p>
    <w:p w14:paraId="2F3B4EFB" w14:textId="77777777" w:rsidR="0056686F" w:rsidRDefault="0056686F" w:rsidP="00A35096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CC11719" w14:textId="36DD5A42" w:rsidR="0056686F" w:rsidRDefault="00661FAD" w:rsidP="00A35096">
      <w:pPr>
        <w:spacing w:after="0" w:line="240" w:lineRule="auto"/>
        <w:ind w:left="72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7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https://eur-lex.europa.eu/legal-content/PL/TXT/PDF/?uri=CELEX:32022R1391&amp;qid=1660730180851&amp;from=EN</w:t>
        </w:r>
      </w:hyperlink>
    </w:p>
    <w:p w14:paraId="61146E43" w14:textId="67D6FCF2" w:rsidR="0056686F" w:rsidRDefault="0056686F" w:rsidP="005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2AC60" w14:textId="5C1E1552" w:rsidR="0056686F" w:rsidRPr="00A35096" w:rsidRDefault="00E664FA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lastRenderedPageBreak/>
        <w:t xml:space="preserve">Rozporządzenie wykonawcze Komisji (UE) 2022/1345 ustanawiające zasady stosowania rozporządzenia Parlamentu Europejskiego i Rady (UE) 2016/429 </w:t>
      </w:r>
      <w:r w:rsidR="008157B4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w odniesieniu do rejestracji i zatwierdzania zakładów, w których utrzymywane są zwierzęta lądowe, a także pobierania, produkcji, przetwarzania lub przechowywania materiału biologicznego.</w:t>
      </w:r>
    </w:p>
    <w:p w14:paraId="3959C6C5" w14:textId="77777777" w:rsidR="00E664FA" w:rsidRDefault="00E664FA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FB9F69D" w14:textId="350B1861" w:rsidR="0056686F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8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https://eur-lex.europa.eu/legal-content/PL/TXT/PDF/?uri=CELEX:32022R1345&amp;qid=1660730180851&amp;from=EN</w:t>
        </w:r>
      </w:hyperlink>
    </w:p>
    <w:p w14:paraId="2669CECD" w14:textId="442F43BF" w:rsidR="00E664FA" w:rsidRDefault="00E664FA" w:rsidP="005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D86F" w14:textId="1891CF0D" w:rsidR="00E664FA" w:rsidRPr="00A35096" w:rsidRDefault="00E664FA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Komisji (UE) 2022/1346 zmieniające załączniki II i III do rozporządzenia (WE) nr 396/2005 Parlamentu Europejskiego i Rady w odniesieniu do najwyższych dopuszczalnych poziomów pozostałości 1,4-dimetylonaftalenu, </w:t>
      </w:r>
      <w:r w:rsidR="00234B51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 xml:space="preserve">8-hydroksychinoliny,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pinoksadenu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walifenalatu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w określonych produktach lub na ich powierzchni.</w:t>
      </w:r>
    </w:p>
    <w:p w14:paraId="5878768C" w14:textId="77777777" w:rsidR="00E664FA" w:rsidRDefault="00E664FA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830713E" w14:textId="5393B847" w:rsidR="00E664FA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9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https://eur-lex.europa.eu/legal-content/PL/TXT/PDF/?uri=CELEX:32022R1346&amp;qid=1660730180851&amp;from=EN</w:t>
        </w:r>
      </w:hyperlink>
    </w:p>
    <w:p w14:paraId="597BEF2E" w14:textId="02939A52" w:rsidR="00E664FA" w:rsidRDefault="00E664FA" w:rsidP="00E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E8CD" w14:textId="1CE056B7" w:rsidR="00B17D9B" w:rsidRPr="00A35096" w:rsidRDefault="00B17D9B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Komisji (UE) 2022/1352 ustanawiające, odnośnie do roku 2022, odstępstwo od art. 75 ust. 1 akapit trzeci rozporządzenia Parlamentu Europejskiego </w:t>
      </w:r>
      <w:r w:rsidR="007B429F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i Rady (UE) nr 1306/2013 w odniesieniu do poziomu zaliczek z tytułu płatności bezpośrednich oraz z tytułu środków obszarowych i działań związanych ze zwierzętami w ramach rozwoju obszarów wiejskich.</w:t>
      </w:r>
    </w:p>
    <w:p w14:paraId="46D25A85" w14:textId="77777777" w:rsidR="00B17D9B" w:rsidRDefault="00B17D9B" w:rsidP="00A35096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376B2F0" w14:textId="6ECAC04C" w:rsidR="00B17D9B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0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https://eur-lex.europa.eu/legal-content/PL/TXT/PDF/?uri=CELEX:32022R1352&amp;qid=1660730180851&amp;from=EN</w:t>
        </w:r>
      </w:hyperlink>
    </w:p>
    <w:p w14:paraId="0F19A02A" w14:textId="77777777" w:rsidR="00804DC8" w:rsidRDefault="00804DC8" w:rsidP="00B17D9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B38EA70" w14:textId="0312925D" w:rsidR="00804DC8" w:rsidRPr="00A35096" w:rsidRDefault="00804DC8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Komisji (UE) 2022/1364 zmieniające rozporządzenie (WE) nr 1881/2006 w odniesieniu do najwyższych dopuszczalnych poziomów cyjanowodoru w niektórych środkach spożywczych.</w:t>
      </w:r>
    </w:p>
    <w:p w14:paraId="06E9E928" w14:textId="77777777" w:rsidR="00804DC8" w:rsidRDefault="00804DC8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A85A8B0" w14:textId="06DB0874" w:rsidR="00804DC8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1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https://eur-lex.europa.eu/legal-content/PL/TXT/PDF/?uri=CELEX:32022R1364&amp;qid=1660730180851&amp;from=EN</w:t>
        </w:r>
      </w:hyperlink>
    </w:p>
    <w:p w14:paraId="49B330DA" w14:textId="451EF636" w:rsidR="00804DC8" w:rsidRDefault="00804DC8" w:rsidP="0080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8324" w14:textId="06DB5567" w:rsidR="00804DC8" w:rsidRPr="00A35096" w:rsidRDefault="00804DC8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2022/1365 zmieniające rozporządzenie wykonawcze (UE) 2017/2470 w odniesieniu do warunków stosowania nowej żywności olej ze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Schizochytrium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sp. bogaty w DHA i EPA.</w:t>
      </w:r>
    </w:p>
    <w:p w14:paraId="00267AA9" w14:textId="77777777" w:rsidR="00804DC8" w:rsidRDefault="00804DC8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E3BBD56" w14:textId="03E93B85" w:rsidR="00804DC8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2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https://eur-lex.europa.eu/legal-content/PL/TXT/PDF/?uri=CELEX:32022R1365&amp;qid=1660730180851&amp;from=EN</w:t>
        </w:r>
      </w:hyperlink>
    </w:p>
    <w:p w14:paraId="735B9580" w14:textId="34771026" w:rsidR="00804DC8" w:rsidRDefault="00804DC8" w:rsidP="0080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351D4" w14:textId="1593D726" w:rsidR="00804DC8" w:rsidRPr="00A35096" w:rsidRDefault="00804DC8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2022/1373 zezwalające na wprowadzanie na rynek winianu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adypinianu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wodorotlenku żelaza jako nowej żywności oraz zmieniające rozporządzenie wykonawcze (UE) 2017/2470.</w:t>
      </w:r>
    </w:p>
    <w:p w14:paraId="6EA828B5" w14:textId="77777777" w:rsidR="00804DC8" w:rsidRDefault="00804DC8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3B18D17" w14:textId="019CAC38" w:rsidR="00804DC8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3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https://eur-lex.europa.eu/legal-content/PL/TXT/PDF/?uri=CELEX:32022R1373&amp;qid=1660730180851&amp;from=EN</w:t>
        </w:r>
      </w:hyperlink>
    </w:p>
    <w:p w14:paraId="3EFBE03F" w14:textId="77777777" w:rsidR="00804DC8" w:rsidRDefault="00804DC8" w:rsidP="00804DC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AEDD394" w14:textId="46CA97F5" w:rsidR="00804DC8" w:rsidRPr="00A35096" w:rsidRDefault="00804DC8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</w:t>
      </w:r>
      <w:r w:rsidR="00C669B7" w:rsidRPr="00A35096">
        <w:rPr>
          <w:rFonts w:ascii="Times New Roman" w:hAnsi="Times New Roman" w:cs="Times New Roman"/>
          <w:sz w:val="24"/>
          <w:szCs w:val="24"/>
        </w:rPr>
        <w:t xml:space="preserve">2022/1375 </w:t>
      </w:r>
      <w:r w:rsidRPr="00A35096">
        <w:rPr>
          <w:rFonts w:ascii="Times New Roman" w:hAnsi="Times New Roman" w:cs="Times New Roman"/>
          <w:sz w:val="24"/>
          <w:szCs w:val="24"/>
        </w:rPr>
        <w:t xml:space="preserve">dotyczące odmowy udzielenia zezwolenia na stosowanie etoksychiny jako dodatku paszowego należącego do grupy </w:t>
      </w:r>
      <w:r w:rsidRPr="00A35096">
        <w:rPr>
          <w:rFonts w:ascii="Times New Roman" w:hAnsi="Times New Roman" w:cs="Times New Roman"/>
          <w:sz w:val="24"/>
          <w:szCs w:val="24"/>
        </w:rPr>
        <w:lastRenderedPageBreak/>
        <w:t>funkcjonalnej przeciwutleniaczy i uchylające rozporządzenie wykonawcze (UE) 2017/962.</w:t>
      </w:r>
    </w:p>
    <w:p w14:paraId="4FC82809" w14:textId="77777777" w:rsidR="00804DC8" w:rsidRDefault="00804DC8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29F8882" w14:textId="030B9570" w:rsidR="00804DC8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4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https://eur-lex.europa.eu/legal-content/PL/TXT/PDF/?uri=CELEX:32022R1375&amp;qid=1660730180851&amp;from=EN</w:t>
        </w:r>
      </w:hyperlink>
    </w:p>
    <w:p w14:paraId="437B5693" w14:textId="6DB52BD4" w:rsidR="00804DC8" w:rsidRDefault="00804DC8" w:rsidP="0080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72A35" w14:textId="06F6CE3C" w:rsidR="00C669B7" w:rsidRPr="00A35096" w:rsidRDefault="00C669B7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2022/1371 w sprawie sprostowania niektórych wersji językowych rozporządzenia wykonawczego (UE) 2018/2066 w sprawie monitorowania i raportowania w zakresie emisji gazów cieplarnianych na podstawie dyrektywy 2003/87/WE Parlamentu Europejskiego i Rady.</w:t>
      </w:r>
    </w:p>
    <w:p w14:paraId="67512FB4" w14:textId="77777777" w:rsidR="00C669B7" w:rsidRDefault="00C669B7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5527D15" w14:textId="70C06365" w:rsidR="00C669B7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5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https://eur-lex.europa.eu/legal-content/PL/TXT/PDF/?uri=CELEX:32022R1371&amp;qid=1660730180851&amp;from=EN</w:t>
        </w:r>
      </w:hyperlink>
    </w:p>
    <w:p w14:paraId="2B230914" w14:textId="7A20029A" w:rsidR="00C669B7" w:rsidRDefault="00C669B7" w:rsidP="00C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0D2F2" w14:textId="5F00ABEB" w:rsidR="00C669B7" w:rsidRPr="00A35096" w:rsidRDefault="00F56B15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2022/1382 dotyczące zezwolenia na stosowanie preparatu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freudenreichii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DSM 33189 i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Lentilactobacillus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buchneri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DSM 12856 jako dodatku paszowego dla wszystkich gatunków zwierząt.</w:t>
      </w:r>
    </w:p>
    <w:p w14:paraId="0CCF97CF" w14:textId="77777777" w:rsidR="00F56B15" w:rsidRDefault="00F56B15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7D03455" w14:textId="6BEEDA59" w:rsidR="00F56B15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6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https://eur-lex.europa.eu/legal-content/PL/TXT/PDF/?uri=CELEX:32022R1382&amp;qid=1660730180851&amp;from=EN</w:t>
        </w:r>
      </w:hyperlink>
    </w:p>
    <w:p w14:paraId="6651656E" w14:textId="5BAD1FC0" w:rsidR="00F56B15" w:rsidRDefault="00F56B15" w:rsidP="00C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7AEA5" w14:textId="0BD1A2BB" w:rsidR="00AC2375" w:rsidRPr="00A35096" w:rsidRDefault="00AC2375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2022/1381 zmieniające rozporządzenie wykonawcze (UE) 2017/2470 w odniesieniu do warunków stosowania nowej żywności „galaktooligosacharydy”.</w:t>
      </w:r>
    </w:p>
    <w:p w14:paraId="09FD51A2" w14:textId="77777777" w:rsidR="00AC2375" w:rsidRDefault="00AC2375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45C974F" w14:textId="292DF9F1" w:rsidR="00AC2375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7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https://eur-lex.europa.eu/legal-content/PL/TXT/PDF/?uri=CELEX:32022R1381&amp;qid=1660730180851&amp;from=EN</w:t>
        </w:r>
      </w:hyperlink>
    </w:p>
    <w:p w14:paraId="15B315BD" w14:textId="1255A365" w:rsidR="00AC2375" w:rsidRDefault="00AC2375" w:rsidP="00AC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4948" w14:textId="4A670CCA" w:rsidR="00CB39A0" w:rsidRPr="00A35096" w:rsidRDefault="00CB39A0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Komisji (UE) zmieniające załącznik do rozporządzenia (UE) nr 231/2012 ustanawiającego specyfikacje dla dodatków do żywności wymienionych </w:t>
      </w:r>
      <w:r w:rsidR="000A1CCE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w załącznikach II i III do rozporządzenia (WE) nr 1333/2008 Parlamentu Europejskiego i Rady w odniesieniu do obecności tlenku etylenu w dodatkach do żywności.</w:t>
      </w:r>
    </w:p>
    <w:p w14:paraId="1E5E3E46" w14:textId="77777777" w:rsidR="00CB39A0" w:rsidRDefault="00CB39A0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35EA56B" w14:textId="77A3D5F3" w:rsidR="00CB39A0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8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https://eur-lex.europa.eu/legal-content/PL/TXT/PDF/?uri=CELEX:32022R1396&amp;qid=1660730180851&amp;from=EN</w:t>
        </w:r>
      </w:hyperlink>
    </w:p>
    <w:p w14:paraId="5032A81F" w14:textId="142C74A2" w:rsidR="00CB39A0" w:rsidRDefault="00CB39A0" w:rsidP="00CB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32D8B" w14:textId="1CB21526" w:rsidR="00ED6284" w:rsidRPr="00A35096" w:rsidRDefault="00ED6284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Rozporządzenie wykonawcze Komisji (UE) 2022/1405 ustalające stopy procentowe, które mają być stosowane do obliczania kosztów finansowania środków interwencyjnych obejmujących zakup, przechowywanie i zbyt produktów rolnych od </w:t>
      </w:r>
      <w:r w:rsidR="002A3CA1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1 października 2022 roku.</w:t>
      </w:r>
    </w:p>
    <w:p w14:paraId="6BA63194" w14:textId="77777777" w:rsidR="00ED6284" w:rsidRDefault="00ED6284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F5DA70B" w14:textId="549274F7" w:rsidR="00ED6284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9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https://eur-lex.europa.eu/legal-content/PL/TXT/PDF/?uri=CELEX:32022R1405&amp;qid=1660730180851&amp;from=EN</w:t>
        </w:r>
      </w:hyperlink>
    </w:p>
    <w:p w14:paraId="5E1A0560" w14:textId="0D7ACD58" w:rsidR="00ED6284" w:rsidRDefault="00ED6284" w:rsidP="00CB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B304D" w14:textId="2E8D7794" w:rsidR="00ED6284" w:rsidRPr="00A35096" w:rsidRDefault="00ED6284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2022/1469 dotyczące zezwolenia na stosowanie siarczanu L-lizyny wytwarzanego przez Escherichia coli CGMCC 7.398 jako dodatku paszowego dla wszystkich gatunków zwierząt.</w:t>
      </w:r>
    </w:p>
    <w:p w14:paraId="29E3EE05" w14:textId="77777777" w:rsidR="00ED6284" w:rsidRDefault="00ED6284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4313499" w14:textId="0D217C37" w:rsidR="00ED6284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0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https://eur-lex.europa.eu/legal-content/PL/TXT/PDF/?uri=CELEX:32022R1469&amp;qid=1662633342704&amp;from=EN</w:t>
        </w:r>
      </w:hyperlink>
    </w:p>
    <w:p w14:paraId="57B7BCE7" w14:textId="3ED6D73D" w:rsidR="00ED6284" w:rsidRDefault="00ED6284" w:rsidP="00ED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C1986" w14:textId="0E1805B8" w:rsidR="00ED6284" w:rsidRPr="00A35096" w:rsidRDefault="002E55E3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>Rozporządzenie wykonawcze Komisji (UE) 2022/1458 zmieniające rozporządzenie wykonawcze (UE) 2016/1095 w odniesieniu do warunków zezwolenia na stosowanie uwodnionego aminokwasowego chelatu cynku jako dodatku paszowego dla wszystkich gatunków zwierząt.</w:t>
      </w:r>
    </w:p>
    <w:p w14:paraId="308703A7" w14:textId="77777777" w:rsidR="002E55E3" w:rsidRDefault="002E55E3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AA02A47" w14:textId="68009B76" w:rsidR="002E55E3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1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https://eur-lex.europa.eu/legal-content/PL/TXT/PDF/?uri=CELEX:32022R1458&amp;qid=1662633342704&amp;from=EN</w:t>
        </w:r>
      </w:hyperlink>
    </w:p>
    <w:p w14:paraId="7A58FBAB" w14:textId="77777777" w:rsidR="007034AC" w:rsidRDefault="007034AC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DD75BCF" w14:textId="039A9112" w:rsidR="00961A66" w:rsidRDefault="00961A66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DECYZJE</w:t>
      </w:r>
    </w:p>
    <w:p w14:paraId="29EA057E" w14:textId="77777777" w:rsidR="00961A66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17ED4" w14:textId="114991F9" w:rsidR="00961A66" w:rsidRPr="00A35096" w:rsidRDefault="00961A66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A3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="002E55E3" w:rsidRPr="00A35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2022/1187 </w:t>
      </w:r>
      <w:r w:rsidR="002E55E3" w:rsidRPr="00A35096">
        <w:rPr>
          <w:rFonts w:ascii="Times New Roman" w:hAnsi="Times New Roman" w:cs="Times New Roman"/>
          <w:sz w:val="24"/>
          <w:szCs w:val="24"/>
        </w:rPr>
        <w:t>zmieniająca decyzję wykonawczą Komisji (UE) 2022/493 ustalającą ostateczny przydział pomocy unijnej państwom członkowskim na owoce i warzywa dla szkół oraz na mleko dla szkół na okres od dnia 1 sierpnia 2022 roku do dnia 31 lipca 2023 roku.</w:t>
      </w:r>
    </w:p>
    <w:p w14:paraId="12CB4C82" w14:textId="77777777" w:rsidR="00961A66" w:rsidRPr="002E55E3" w:rsidRDefault="00961A66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C42C144" w14:textId="07DD0C83" w:rsidR="00961A66" w:rsidRDefault="00661FAD" w:rsidP="00A35096">
      <w:pPr>
        <w:spacing w:after="0" w:line="240" w:lineRule="auto"/>
        <w:ind w:left="708"/>
        <w:rPr>
          <w:rStyle w:val="Hipercze"/>
          <w:rFonts w:ascii="Times New Roman" w:hAnsi="Times New Roman" w:cs="Times New Roman"/>
          <w:sz w:val="24"/>
          <w:szCs w:val="24"/>
        </w:rPr>
      </w:pPr>
      <w:hyperlink r:id="rId92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https://eur-lex.europa.eu/legal-content/PL/TXT/PDF/?uri=CELEX:32022D1187&amp;qid=1660730180851&amp;from=EN</w:t>
        </w:r>
      </w:hyperlink>
    </w:p>
    <w:p w14:paraId="7F8AAA6F" w14:textId="05B954B8" w:rsidR="002E55E3" w:rsidRDefault="002E55E3" w:rsidP="002E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1716A" w14:textId="4C2F0FD5" w:rsidR="002E55E3" w:rsidRPr="00A35096" w:rsidRDefault="002E55E3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Komisji </w:t>
      </w:r>
      <w:r w:rsidR="002505D7" w:rsidRPr="00A35096">
        <w:rPr>
          <w:rFonts w:ascii="Times New Roman" w:hAnsi="Times New Roman" w:cs="Times New Roman"/>
          <w:sz w:val="24"/>
          <w:szCs w:val="24"/>
        </w:rPr>
        <w:t xml:space="preserve">(UE) </w:t>
      </w:r>
      <w:r w:rsidRPr="00A35096">
        <w:rPr>
          <w:rFonts w:ascii="Times New Roman" w:hAnsi="Times New Roman" w:cs="Times New Roman"/>
          <w:sz w:val="24"/>
          <w:szCs w:val="24"/>
        </w:rPr>
        <w:t xml:space="preserve">2022/1368 ustanawiająca grupę dialogu obywatelskiego </w:t>
      </w:r>
      <w:r w:rsidR="007F2C7F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w sprawach objętych wspólną polityką rolną i uchylająca decyzję 2013/767/UE.</w:t>
      </w:r>
    </w:p>
    <w:p w14:paraId="296055BE" w14:textId="77777777" w:rsidR="002E55E3" w:rsidRPr="002E55E3" w:rsidRDefault="002E55E3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A2E8632" w14:textId="4B6194E1" w:rsidR="002E55E3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3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https://eur-lex.europa.eu/legal-content/PL/TXT/PDF/?uri=CELEX:32022D1368&amp;qid=1660730180851&amp;from=EN</w:t>
        </w:r>
      </w:hyperlink>
    </w:p>
    <w:p w14:paraId="5D45EDE2" w14:textId="5EC3D596" w:rsidR="002E55E3" w:rsidRDefault="002E55E3" w:rsidP="002E5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13461" w14:textId="33E17FAD" w:rsidR="002505D7" w:rsidRPr="00A35096" w:rsidRDefault="002505D7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A3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Pr="00A35096">
        <w:rPr>
          <w:rFonts w:ascii="Times New Roman" w:hAnsi="Times New Roman" w:cs="Times New Roman"/>
          <w:sz w:val="24"/>
          <w:szCs w:val="24"/>
        </w:rPr>
        <w:t xml:space="preserve">2022/1488 przedłużająca ważność zatwierdzenia K-HDO do stosowania w produktach biobójczych należących do grupy produktowej </w:t>
      </w:r>
      <w:r w:rsidR="00603072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8 zgodnie z rozporządzeniem Parlamentu Europejskiego i Rady (UE) nr 528/2012.</w:t>
      </w:r>
    </w:p>
    <w:p w14:paraId="10BFDA20" w14:textId="77777777" w:rsidR="002505D7" w:rsidRPr="002E55E3" w:rsidRDefault="002505D7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9E5B735" w14:textId="0D817965" w:rsidR="002E55E3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4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https://eur-lex.europa.eu/legal-content/PL/TXT/PDF/?uri=CELEX:32022D1488&amp;qid=1662633342704&amp;from=EN</w:t>
        </w:r>
      </w:hyperlink>
    </w:p>
    <w:p w14:paraId="0814275D" w14:textId="0836CDE4" w:rsidR="002505D7" w:rsidRDefault="002505D7" w:rsidP="002E5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552A9" w14:textId="5011F58A" w:rsidR="002505D7" w:rsidRPr="00A35096" w:rsidRDefault="002505D7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A3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Pr="00A35096">
        <w:rPr>
          <w:rFonts w:ascii="Times New Roman" w:hAnsi="Times New Roman" w:cs="Times New Roman"/>
          <w:sz w:val="24"/>
          <w:szCs w:val="24"/>
        </w:rPr>
        <w:t xml:space="preserve">2022/1487 przedłużająca ważność zatwierdzenia </w:t>
      </w:r>
      <w:proofErr w:type="spellStart"/>
      <w:r w:rsidRPr="00A35096">
        <w:rPr>
          <w:rFonts w:ascii="Times New Roman" w:hAnsi="Times New Roman" w:cs="Times New Roman"/>
          <w:sz w:val="24"/>
          <w:szCs w:val="24"/>
        </w:rPr>
        <w:t>etofenproksu</w:t>
      </w:r>
      <w:proofErr w:type="spellEnd"/>
      <w:r w:rsidRPr="00A35096">
        <w:rPr>
          <w:rFonts w:ascii="Times New Roman" w:hAnsi="Times New Roman" w:cs="Times New Roman"/>
          <w:sz w:val="24"/>
          <w:szCs w:val="24"/>
        </w:rPr>
        <w:t xml:space="preserve"> do stosowania w produktach biobójczych należących do grupy produktowej 8 zgodnie z rozporządzeniem Parlamentu Europejskiego i Rady (UE) nr 528/2012.</w:t>
      </w:r>
    </w:p>
    <w:p w14:paraId="18A58203" w14:textId="77777777" w:rsidR="002505D7" w:rsidRPr="002E55E3" w:rsidRDefault="002505D7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9503746" w14:textId="18F406A4" w:rsidR="002505D7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5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https://eur-lex.europa.eu/legal-content/PL/TXT/PDF/?uri=CELEX:32022D1487&amp;qid=1662633342704&amp;from=EN</w:t>
        </w:r>
      </w:hyperlink>
    </w:p>
    <w:p w14:paraId="04001BF8" w14:textId="133D9CD6" w:rsidR="002505D7" w:rsidRDefault="002505D7" w:rsidP="002E5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2DCCF" w14:textId="65510809" w:rsidR="002505D7" w:rsidRPr="00A35096" w:rsidRDefault="002505D7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A3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Pr="00A35096">
        <w:rPr>
          <w:rFonts w:ascii="Times New Roman" w:hAnsi="Times New Roman" w:cs="Times New Roman"/>
          <w:sz w:val="24"/>
          <w:szCs w:val="24"/>
        </w:rPr>
        <w:t>2022/1486 przedłużająca ważność zatwierdzenia akroleiny do stosowania w produktach biobójczych należących do grupy produktowej 12 zgodnie z rozporządzeniem Parlamentu Europejskiego i Rady (UE) nr 528/2012.</w:t>
      </w:r>
    </w:p>
    <w:p w14:paraId="50BB5317" w14:textId="77777777" w:rsidR="002505D7" w:rsidRPr="002E55E3" w:rsidRDefault="002505D7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90ECECB" w14:textId="63523F3E" w:rsidR="002505D7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6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https://eur-lex.europa.eu/legal-content/PL/TXT/PDF/?uri=CELEX:32022D1486&amp;qid=1662633342704&amp;from=EN</w:t>
        </w:r>
      </w:hyperlink>
    </w:p>
    <w:p w14:paraId="7B654D54" w14:textId="789E3B54" w:rsidR="002505D7" w:rsidRDefault="002505D7" w:rsidP="0025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70DA8" w14:textId="189763A7" w:rsidR="002505D7" w:rsidRPr="00A35096" w:rsidRDefault="002505D7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A3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Pr="00A35096">
        <w:rPr>
          <w:rFonts w:ascii="Times New Roman" w:hAnsi="Times New Roman" w:cs="Times New Roman"/>
          <w:sz w:val="24"/>
          <w:szCs w:val="24"/>
        </w:rPr>
        <w:t xml:space="preserve">2022/1485 przedłużająca ważność zatwierdzenia IPBC do stosowania w produktach biobójczych należących do grupy produktowej </w:t>
      </w:r>
      <w:r w:rsidR="00765838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8 zgodnie z rozporządzeniem Parlamentu Europejskiego i Rady (UE) nr 528/2012.</w:t>
      </w:r>
    </w:p>
    <w:p w14:paraId="7D14BE1A" w14:textId="77777777" w:rsidR="002505D7" w:rsidRPr="002E55E3" w:rsidRDefault="002505D7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079AE86D" w14:textId="1ED551AC" w:rsidR="002505D7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7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https://eur-lex.europa.eu/legal-content/PL/TXT/PDF/?uri=CELEX:32022D1485&amp;qid=1662633342704&amp;from=EN</w:t>
        </w:r>
      </w:hyperlink>
    </w:p>
    <w:p w14:paraId="316B6B22" w14:textId="00F9D0F8" w:rsidR="002505D7" w:rsidRDefault="002505D7" w:rsidP="0025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276DD" w14:textId="39A19495" w:rsidR="002505D7" w:rsidRPr="00A35096" w:rsidRDefault="002505D7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A3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Pr="00A35096">
        <w:rPr>
          <w:rFonts w:ascii="Times New Roman" w:hAnsi="Times New Roman" w:cs="Times New Roman"/>
          <w:sz w:val="24"/>
          <w:szCs w:val="24"/>
        </w:rPr>
        <w:t>2022/1483 zmieniająca załącznik do decyzji wykonawczej (UE) 2021/641 dotyczącej środków nadzwyczajnych w odniesieniu do ognisk wysoce zjadliwej grypy ptaków w niektórych państwach członkowskich.</w:t>
      </w:r>
    </w:p>
    <w:p w14:paraId="71FCE608" w14:textId="77777777" w:rsidR="002505D7" w:rsidRPr="002E55E3" w:rsidRDefault="002505D7" w:rsidP="00A350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55E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05F06C3" w14:textId="5C4C816A" w:rsidR="00961A66" w:rsidRDefault="00661FAD" w:rsidP="00A3509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https://eur-lex.europa.eu/legal-content/PL/TXT/PDF/?uri=CELEX:32022D1483&amp;qid=1662633342704&amp;from=EN</w:t>
        </w:r>
      </w:hyperlink>
    </w:p>
    <w:p w14:paraId="7E0DB092" w14:textId="77777777" w:rsidR="00F9646C" w:rsidRDefault="00F9646C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ABA0476" w14:textId="77777777" w:rsidR="00A35096" w:rsidRPr="008A3C50" w:rsidRDefault="00A35096" w:rsidP="008A3C5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68934AA4" w14:textId="77777777" w:rsidR="00961A66" w:rsidRDefault="00961A66" w:rsidP="00961A66">
      <w:pPr>
        <w:pStyle w:val="Akapitzlist"/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E2222C">
        <w:rPr>
          <w:rFonts w:ascii="Times New Roman" w:hAnsi="Times New Roman" w:cs="Times New Roman"/>
          <w:b/>
          <w:sz w:val="24"/>
          <w:szCs w:val="24"/>
        </w:rPr>
        <w:t>POZOSTAŁE</w:t>
      </w:r>
    </w:p>
    <w:p w14:paraId="75A373AE" w14:textId="77777777" w:rsidR="00961A66" w:rsidRPr="00E2222C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51F56" w14:textId="6A29A339" w:rsidR="008A3C50" w:rsidRPr="00A35096" w:rsidRDefault="00961A66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0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r w:rsidR="008A3C50" w:rsidRPr="00A350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wiadomienie</w:t>
      </w:r>
      <w:r w:rsidRPr="00A350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Komisji</w:t>
      </w:r>
      <w:r w:rsidR="002079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w</w:t>
      </w:r>
      <w:r w:rsidR="008A3C50" w:rsidRPr="00A35096">
        <w:rPr>
          <w:rFonts w:ascii="Times New Roman" w:hAnsi="Times New Roman" w:cs="Times New Roman"/>
          <w:sz w:val="24"/>
          <w:szCs w:val="24"/>
        </w:rPr>
        <w:t>ytyczne mające na celu wsparcie stosowania rozporządzenia 2020/741 w sprawie minimalnych wymogów dotyczących ponownego wykorzystania wody</w:t>
      </w:r>
      <w:r w:rsidR="008A3C50" w:rsidRPr="00A350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A51A1E" w14:textId="67E850EA" w:rsidR="00961A66" w:rsidRPr="008A3C50" w:rsidRDefault="00961A66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6F20346D" w14:textId="1AAA2CCD" w:rsidR="00961A66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9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https://eur-lex.europa.eu/legal-content/PL/TXT/PDF/?uri=CELEX:52022XC0805(01)&amp;qid=1660730180851&amp;from=EN</w:t>
        </w:r>
      </w:hyperlink>
    </w:p>
    <w:p w14:paraId="3152FDF0" w14:textId="57E4B082" w:rsidR="008A3C50" w:rsidRDefault="008A3C50" w:rsidP="008A3C50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B5460A3" w14:textId="595BBB41" w:rsidR="008A3C50" w:rsidRPr="00A35096" w:rsidRDefault="008A3C50" w:rsidP="00A350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9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Trybunał Obrachunkowy - </w:t>
      </w:r>
      <w:r w:rsidR="0020791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A35096">
        <w:rPr>
          <w:rFonts w:ascii="Times New Roman" w:hAnsi="Times New Roman" w:cs="Times New Roman"/>
          <w:sz w:val="24"/>
          <w:szCs w:val="24"/>
        </w:rPr>
        <w:t xml:space="preserve">prawozdanie specjalne 10/2022 pt. „Podejście LEADER </w:t>
      </w:r>
      <w:r w:rsidR="003A79FE">
        <w:rPr>
          <w:rFonts w:ascii="Times New Roman" w:hAnsi="Times New Roman" w:cs="Times New Roman"/>
          <w:sz w:val="24"/>
          <w:szCs w:val="24"/>
        </w:rPr>
        <w:br/>
      </w:r>
      <w:r w:rsidRPr="00A35096">
        <w:rPr>
          <w:rFonts w:ascii="Times New Roman" w:hAnsi="Times New Roman" w:cs="Times New Roman"/>
          <w:sz w:val="24"/>
          <w:szCs w:val="24"/>
        </w:rPr>
        <w:t>i rozwój lokalny kierowany przez społeczność ułatwiają lokalne zaangażowanie, ale wciąż nie wykazano w dostatecznym stopniu ich dodatkowych korzyści”.</w:t>
      </w:r>
    </w:p>
    <w:p w14:paraId="6E3B1A9E" w14:textId="77777777" w:rsidR="008A3C50" w:rsidRPr="008A3C50" w:rsidRDefault="008A3C50" w:rsidP="00A3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0B3C74F8" w14:textId="0740B9DE" w:rsidR="008A3C50" w:rsidRPr="008A3C50" w:rsidRDefault="00661FAD" w:rsidP="00A35096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0" w:history="1">
        <w:r w:rsidR="00A35096" w:rsidRPr="0083508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https://eur-lex.europa.eu/legal-content/PL/TXT/PDF/?uri=CELEX:52022SA0010(01)&amp;qid=1660730180851&amp;from=EN</w:t>
        </w:r>
      </w:hyperlink>
    </w:p>
    <w:p w14:paraId="38709C3C" w14:textId="5AD8DD1B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3266FDB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2929334" w14:textId="3C25F2EE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5616A" w14:textId="78D6E7E3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DB22" w14:textId="5505A84D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82F7" w14:textId="11FACE95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2CF33" w14:textId="3CCA8308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21E5">
        <w:rPr>
          <w:rFonts w:ascii="Times New Roman" w:hAnsi="Times New Roman" w:cs="Times New Roman"/>
          <w:sz w:val="20"/>
          <w:szCs w:val="20"/>
        </w:rPr>
        <w:t>Data</w:t>
      </w:r>
      <w:r w:rsidR="002B7445">
        <w:rPr>
          <w:rFonts w:ascii="Times New Roman" w:hAnsi="Times New Roman" w:cs="Times New Roman"/>
          <w:sz w:val="20"/>
          <w:szCs w:val="20"/>
        </w:rPr>
        <w:t>:</w:t>
      </w:r>
      <w:r w:rsidR="000A6484">
        <w:rPr>
          <w:rFonts w:ascii="Times New Roman" w:hAnsi="Times New Roman" w:cs="Times New Roman"/>
          <w:sz w:val="20"/>
          <w:szCs w:val="20"/>
        </w:rPr>
        <w:t xml:space="preserve"> 2</w:t>
      </w:r>
      <w:r w:rsidR="008A3C50">
        <w:rPr>
          <w:rFonts w:ascii="Times New Roman" w:hAnsi="Times New Roman" w:cs="Times New Roman"/>
          <w:sz w:val="20"/>
          <w:szCs w:val="20"/>
        </w:rPr>
        <w:t>3</w:t>
      </w:r>
      <w:r w:rsidR="000A6484">
        <w:rPr>
          <w:rFonts w:ascii="Times New Roman" w:hAnsi="Times New Roman" w:cs="Times New Roman"/>
          <w:sz w:val="20"/>
          <w:szCs w:val="20"/>
        </w:rPr>
        <w:t>.0</w:t>
      </w:r>
      <w:r w:rsidR="008A3C50">
        <w:rPr>
          <w:rFonts w:ascii="Times New Roman" w:hAnsi="Times New Roman" w:cs="Times New Roman"/>
          <w:sz w:val="20"/>
          <w:szCs w:val="20"/>
        </w:rPr>
        <w:t>9</w:t>
      </w:r>
      <w:r w:rsidR="000A6484">
        <w:rPr>
          <w:rFonts w:ascii="Times New Roman" w:hAnsi="Times New Roman" w:cs="Times New Roman"/>
          <w:sz w:val="20"/>
          <w:szCs w:val="20"/>
        </w:rPr>
        <w:t>.2022</w:t>
      </w:r>
      <w:r w:rsidR="002B7445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2B63C380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</w:p>
    <w:p w14:paraId="17E085BD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1040 Brussels </w:t>
      </w:r>
    </w:p>
    <w:p w14:paraId="501F5FCE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26</w:t>
      </w:r>
    </w:p>
    <w:p w14:paraId="68E3DB9D" w14:textId="77777777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086D0AA1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East Poland House</w:t>
      </w:r>
    </w:p>
    <w:p w14:paraId="5A3D67E0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Av. de Tervueren 48</w:t>
      </w:r>
    </w:p>
    <w:p w14:paraId="00C6EEB8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1040 Etterbeeek</w:t>
      </w:r>
    </w:p>
    <w:p w14:paraId="6AC0C35C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Brussels</w:t>
      </w:r>
    </w:p>
    <w:p w14:paraId="00139B4F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20</w:t>
      </w:r>
    </w:p>
    <w:p w14:paraId="0B39E072" w14:textId="77777777" w:rsidR="00A3697C" w:rsidRPr="009C21E5" w:rsidRDefault="00661FAD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01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4664387A" w14:textId="77777777" w:rsidR="00A3697C" w:rsidRPr="009C21E5" w:rsidRDefault="00661FAD" w:rsidP="00A3697C">
      <w:pPr>
        <w:tabs>
          <w:tab w:val="left" w:pos="2088"/>
        </w:tabs>
        <w:spacing w:after="0" w:line="240" w:lineRule="auto"/>
        <w:jc w:val="right"/>
        <w:rPr>
          <w:sz w:val="20"/>
          <w:szCs w:val="20"/>
        </w:rPr>
      </w:pPr>
      <w:hyperlink r:id="rId102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p w14:paraId="2703B49D" w14:textId="77777777" w:rsidR="00BD1682" w:rsidRDefault="00BD1682"/>
    <w:sectPr w:rsidR="00BD1682">
      <w:footerReference w:type="default" r:id="rId10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F26E" w14:textId="77777777" w:rsidR="00661FAD" w:rsidRDefault="00661FAD" w:rsidP="00E76EF8">
      <w:pPr>
        <w:spacing w:after="0" w:line="240" w:lineRule="auto"/>
      </w:pPr>
      <w:r>
        <w:separator/>
      </w:r>
    </w:p>
  </w:endnote>
  <w:endnote w:type="continuationSeparator" w:id="0">
    <w:p w14:paraId="01FE7252" w14:textId="77777777" w:rsidR="00661FAD" w:rsidRDefault="00661FAD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851457"/>
      <w:docPartObj>
        <w:docPartGallery w:val="Page Numbers (Bottom of Page)"/>
        <w:docPartUnique/>
      </w:docPartObj>
    </w:sdtPr>
    <w:sdtEndPr/>
    <w:sdtContent>
      <w:p w14:paraId="433FA6B9" w14:textId="209BB843" w:rsidR="00B17D9B" w:rsidRDefault="00B17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B17D9B" w:rsidRDefault="00B17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F249" w14:textId="77777777" w:rsidR="00661FAD" w:rsidRDefault="00661FAD" w:rsidP="00E76EF8">
      <w:pPr>
        <w:spacing w:after="0" w:line="240" w:lineRule="auto"/>
      </w:pPr>
      <w:r>
        <w:separator/>
      </w:r>
    </w:p>
  </w:footnote>
  <w:footnote w:type="continuationSeparator" w:id="0">
    <w:p w14:paraId="59D7743B" w14:textId="77777777" w:rsidR="00661FAD" w:rsidRDefault="00661FAD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EB0"/>
    <w:multiLevelType w:val="hybridMultilevel"/>
    <w:tmpl w:val="889EB0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912C0"/>
    <w:multiLevelType w:val="hybridMultilevel"/>
    <w:tmpl w:val="041E5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01468"/>
    <w:multiLevelType w:val="hybridMultilevel"/>
    <w:tmpl w:val="F7EE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AD7"/>
    <w:multiLevelType w:val="hybridMultilevel"/>
    <w:tmpl w:val="8708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351"/>
    <w:multiLevelType w:val="multilevel"/>
    <w:tmpl w:val="9B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77E54"/>
    <w:multiLevelType w:val="hybridMultilevel"/>
    <w:tmpl w:val="6144F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465448"/>
    <w:multiLevelType w:val="hybridMultilevel"/>
    <w:tmpl w:val="EA4A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4B4E11"/>
    <w:multiLevelType w:val="hybridMultilevel"/>
    <w:tmpl w:val="498254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05192"/>
    <w:multiLevelType w:val="multilevel"/>
    <w:tmpl w:val="0A2E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2E22DF"/>
    <w:multiLevelType w:val="hybridMultilevel"/>
    <w:tmpl w:val="1E3C4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20158"/>
    <w:multiLevelType w:val="hybridMultilevel"/>
    <w:tmpl w:val="9968A7A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AF22D0"/>
    <w:multiLevelType w:val="hybridMultilevel"/>
    <w:tmpl w:val="5B789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049C8"/>
    <w:multiLevelType w:val="hybridMultilevel"/>
    <w:tmpl w:val="67FA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3C1"/>
    <w:multiLevelType w:val="multilevel"/>
    <w:tmpl w:val="1C0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C49C9"/>
    <w:multiLevelType w:val="hybridMultilevel"/>
    <w:tmpl w:val="ECC27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CF0BBF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432A"/>
    <w:multiLevelType w:val="hybridMultilevel"/>
    <w:tmpl w:val="D7F211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E446F49"/>
    <w:multiLevelType w:val="hybridMultilevel"/>
    <w:tmpl w:val="3F0654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87058A"/>
    <w:multiLevelType w:val="hybridMultilevel"/>
    <w:tmpl w:val="7EEA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01319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4098A"/>
    <w:multiLevelType w:val="hybridMultilevel"/>
    <w:tmpl w:val="E862A49A"/>
    <w:lvl w:ilvl="0" w:tplc="39C6D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500A3"/>
    <w:multiLevelType w:val="hybridMultilevel"/>
    <w:tmpl w:val="49A2524A"/>
    <w:lvl w:ilvl="0" w:tplc="39C6D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6"/>
  </w:num>
  <w:num w:numId="4">
    <w:abstractNumId w:val="16"/>
  </w:num>
  <w:num w:numId="5">
    <w:abstractNumId w:val="9"/>
  </w:num>
  <w:num w:numId="6">
    <w:abstractNumId w:val="14"/>
  </w:num>
  <w:num w:numId="7">
    <w:abstractNumId w:val="14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19"/>
  </w:num>
  <w:num w:numId="15">
    <w:abstractNumId w:val="10"/>
  </w:num>
  <w:num w:numId="16">
    <w:abstractNumId w:val="15"/>
  </w:num>
  <w:num w:numId="17">
    <w:abstractNumId w:val="17"/>
  </w:num>
  <w:num w:numId="18">
    <w:abstractNumId w:val="18"/>
  </w:num>
  <w:num w:numId="19">
    <w:abstractNumId w:val="1"/>
  </w:num>
  <w:num w:numId="20">
    <w:abstractNumId w:val="22"/>
  </w:num>
  <w:num w:numId="21">
    <w:abstractNumId w:val="5"/>
  </w:num>
  <w:num w:numId="22">
    <w:abstractNumId w:val="20"/>
  </w:num>
  <w:num w:numId="23">
    <w:abstractNumId w:val="6"/>
  </w:num>
  <w:num w:numId="24">
    <w:abstractNumId w:val="1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4E17"/>
    <w:rsid w:val="00012645"/>
    <w:rsid w:val="0002167A"/>
    <w:rsid w:val="000218A3"/>
    <w:rsid w:val="00040B5C"/>
    <w:rsid w:val="00045607"/>
    <w:rsid w:val="00045B2F"/>
    <w:rsid w:val="00046122"/>
    <w:rsid w:val="00061178"/>
    <w:rsid w:val="000656BD"/>
    <w:rsid w:val="00071B99"/>
    <w:rsid w:val="000823EB"/>
    <w:rsid w:val="000852CF"/>
    <w:rsid w:val="0008625F"/>
    <w:rsid w:val="00087793"/>
    <w:rsid w:val="00087A81"/>
    <w:rsid w:val="00092818"/>
    <w:rsid w:val="00092B0A"/>
    <w:rsid w:val="00097816"/>
    <w:rsid w:val="00097A2E"/>
    <w:rsid w:val="00097DB2"/>
    <w:rsid w:val="000A10D6"/>
    <w:rsid w:val="000A1CCE"/>
    <w:rsid w:val="000A20EA"/>
    <w:rsid w:val="000A38E4"/>
    <w:rsid w:val="000A6484"/>
    <w:rsid w:val="000A6965"/>
    <w:rsid w:val="000A6DB0"/>
    <w:rsid w:val="000B2469"/>
    <w:rsid w:val="000B278E"/>
    <w:rsid w:val="000B46E8"/>
    <w:rsid w:val="000B572F"/>
    <w:rsid w:val="000B65EF"/>
    <w:rsid w:val="000C27ED"/>
    <w:rsid w:val="000D10E1"/>
    <w:rsid w:val="000D1366"/>
    <w:rsid w:val="000D634C"/>
    <w:rsid w:val="000E2E1A"/>
    <w:rsid w:val="000E2EB4"/>
    <w:rsid w:val="000E5D81"/>
    <w:rsid w:val="000F3C4F"/>
    <w:rsid w:val="000F43AF"/>
    <w:rsid w:val="000F73B9"/>
    <w:rsid w:val="001034AE"/>
    <w:rsid w:val="001052C0"/>
    <w:rsid w:val="001054FD"/>
    <w:rsid w:val="00107FB7"/>
    <w:rsid w:val="00110E2A"/>
    <w:rsid w:val="00111D80"/>
    <w:rsid w:val="00116232"/>
    <w:rsid w:val="0011625F"/>
    <w:rsid w:val="00116337"/>
    <w:rsid w:val="00122B84"/>
    <w:rsid w:val="00124F0F"/>
    <w:rsid w:val="00124F31"/>
    <w:rsid w:val="0013046D"/>
    <w:rsid w:val="00130781"/>
    <w:rsid w:val="001307C8"/>
    <w:rsid w:val="00140B36"/>
    <w:rsid w:val="00142D3F"/>
    <w:rsid w:val="00144BB5"/>
    <w:rsid w:val="00146A95"/>
    <w:rsid w:val="001547DC"/>
    <w:rsid w:val="00156DEA"/>
    <w:rsid w:val="00157CEE"/>
    <w:rsid w:val="00163EC1"/>
    <w:rsid w:val="00165DEE"/>
    <w:rsid w:val="00173565"/>
    <w:rsid w:val="00183A18"/>
    <w:rsid w:val="00186C2E"/>
    <w:rsid w:val="00187E79"/>
    <w:rsid w:val="001907D9"/>
    <w:rsid w:val="00192226"/>
    <w:rsid w:val="0019364F"/>
    <w:rsid w:val="0019673F"/>
    <w:rsid w:val="001A1DB1"/>
    <w:rsid w:val="001A725C"/>
    <w:rsid w:val="001B2627"/>
    <w:rsid w:val="001B49B1"/>
    <w:rsid w:val="001C2261"/>
    <w:rsid w:val="001C6EF4"/>
    <w:rsid w:val="001C7685"/>
    <w:rsid w:val="001D7D79"/>
    <w:rsid w:val="001E1905"/>
    <w:rsid w:val="001E1917"/>
    <w:rsid w:val="001E4C76"/>
    <w:rsid w:val="001F0797"/>
    <w:rsid w:val="001F6068"/>
    <w:rsid w:val="00207911"/>
    <w:rsid w:val="00217DA2"/>
    <w:rsid w:val="00226723"/>
    <w:rsid w:val="00230ABE"/>
    <w:rsid w:val="00233402"/>
    <w:rsid w:val="00234B51"/>
    <w:rsid w:val="0023519F"/>
    <w:rsid w:val="00242BFD"/>
    <w:rsid w:val="00243874"/>
    <w:rsid w:val="002447F8"/>
    <w:rsid w:val="00246F1C"/>
    <w:rsid w:val="00247C82"/>
    <w:rsid w:val="002505D7"/>
    <w:rsid w:val="00250A8E"/>
    <w:rsid w:val="0025134F"/>
    <w:rsid w:val="00251A01"/>
    <w:rsid w:val="00257814"/>
    <w:rsid w:val="00260E85"/>
    <w:rsid w:val="002636C9"/>
    <w:rsid w:val="00264F39"/>
    <w:rsid w:val="0027200E"/>
    <w:rsid w:val="00272FCD"/>
    <w:rsid w:val="00275724"/>
    <w:rsid w:val="00276381"/>
    <w:rsid w:val="002775BC"/>
    <w:rsid w:val="00281510"/>
    <w:rsid w:val="00282D6E"/>
    <w:rsid w:val="00283629"/>
    <w:rsid w:val="002848C0"/>
    <w:rsid w:val="00290123"/>
    <w:rsid w:val="00290597"/>
    <w:rsid w:val="00296B09"/>
    <w:rsid w:val="00296D5F"/>
    <w:rsid w:val="002A103D"/>
    <w:rsid w:val="002A3CA1"/>
    <w:rsid w:val="002A57F6"/>
    <w:rsid w:val="002A6E03"/>
    <w:rsid w:val="002A6F96"/>
    <w:rsid w:val="002B2F87"/>
    <w:rsid w:val="002B4114"/>
    <w:rsid w:val="002B4DDA"/>
    <w:rsid w:val="002B7445"/>
    <w:rsid w:val="002C00B6"/>
    <w:rsid w:val="002C1142"/>
    <w:rsid w:val="002C1E7C"/>
    <w:rsid w:val="002C4784"/>
    <w:rsid w:val="002C58EC"/>
    <w:rsid w:val="002C6E27"/>
    <w:rsid w:val="002D0549"/>
    <w:rsid w:val="002D0A79"/>
    <w:rsid w:val="002D4391"/>
    <w:rsid w:val="002D4429"/>
    <w:rsid w:val="002D5612"/>
    <w:rsid w:val="002D5A26"/>
    <w:rsid w:val="002E30FD"/>
    <w:rsid w:val="002E3557"/>
    <w:rsid w:val="002E543B"/>
    <w:rsid w:val="002E55E3"/>
    <w:rsid w:val="002E5B64"/>
    <w:rsid w:val="002E71E7"/>
    <w:rsid w:val="003001FE"/>
    <w:rsid w:val="00304EFE"/>
    <w:rsid w:val="003052BC"/>
    <w:rsid w:val="00307F75"/>
    <w:rsid w:val="00311FB7"/>
    <w:rsid w:val="0031500F"/>
    <w:rsid w:val="003157C5"/>
    <w:rsid w:val="003164BA"/>
    <w:rsid w:val="003204C1"/>
    <w:rsid w:val="0032223C"/>
    <w:rsid w:val="00330307"/>
    <w:rsid w:val="00335BAB"/>
    <w:rsid w:val="00343744"/>
    <w:rsid w:val="00345DB7"/>
    <w:rsid w:val="00354802"/>
    <w:rsid w:val="00354B26"/>
    <w:rsid w:val="00356E4A"/>
    <w:rsid w:val="00360941"/>
    <w:rsid w:val="003610A3"/>
    <w:rsid w:val="003705D4"/>
    <w:rsid w:val="0038706D"/>
    <w:rsid w:val="003907BE"/>
    <w:rsid w:val="003A2C36"/>
    <w:rsid w:val="003A4A4D"/>
    <w:rsid w:val="003A5A89"/>
    <w:rsid w:val="003A64D1"/>
    <w:rsid w:val="003A79FE"/>
    <w:rsid w:val="003B576B"/>
    <w:rsid w:val="003C155B"/>
    <w:rsid w:val="003C29BC"/>
    <w:rsid w:val="003D1920"/>
    <w:rsid w:val="003D5916"/>
    <w:rsid w:val="003D5C1A"/>
    <w:rsid w:val="003D6DA2"/>
    <w:rsid w:val="003D7361"/>
    <w:rsid w:val="003E2479"/>
    <w:rsid w:val="003E2835"/>
    <w:rsid w:val="003E6F40"/>
    <w:rsid w:val="003F2332"/>
    <w:rsid w:val="004022BE"/>
    <w:rsid w:val="004030D4"/>
    <w:rsid w:val="00403801"/>
    <w:rsid w:val="00406277"/>
    <w:rsid w:val="004078AE"/>
    <w:rsid w:val="00407928"/>
    <w:rsid w:val="0041248C"/>
    <w:rsid w:val="004150A8"/>
    <w:rsid w:val="0041744D"/>
    <w:rsid w:val="00426B32"/>
    <w:rsid w:val="00426EEF"/>
    <w:rsid w:val="00431DC9"/>
    <w:rsid w:val="00436011"/>
    <w:rsid w:val="0044046F"/>
    <w:rsid w:val="004429C3"/>
    <w:rsid w:val="00443DBD"/>
    <w:rsid w:val="00443EE2"/>
    <w:rsid w:val="00446126"/>
    <w:rsid w:val="00446C39"/>
    <w:rsid w:val="0045389B"/>
    <w:rsid w:val="00462771"/>
    <w:rsid w:val="00462E0A"/>
    <w:rsid w:val="00464AA1"/>
    <w:rsid w:val="00466530"/>
    <w:rsid w:val="00466E52"/>
    <w:rsid w:val="00470921"/>
    <w:rsid w:val="00472869"/>
    <w:rsid w:val="00472E21"/>
    <w:rsid w:val="00473301"/>
    <w:rsid w:val="004775B5"/>
    <w:rsid w:val="00477FD1"/>
    <w:rsid w:val="00481406"/>
    <w:rsid w:val="0048332D"/>
    <w:rsid w:val="0049127F"/>
    <w:rsid w:val="00496490"/>
    <w:rsid w:val="004976F5"/>
    <w:rsid w:val="004A00ED"/>
    <w:rsid w:val="004A3625"/>
    <w:rsid w:val="004A4D04"/>
    <w:rsid w:val="004B14A4"/>
    <w:rsid w:val="004B1AAD"/>
    <w:rsid w:val="004B5E85"/>
    <w:rsid w:val="004C1DD4"/>
    <w:rsid w:val="004C2213"/>
    <w:rsid w:val="004C5AE2"/>
    <w:rsid w:val="004C5B07"/>
    <w:rsid w:val="004D3986"/>
    <w:rsid w:val="004D5BB7"/>
    <w:rsid w:val="004E1B43"/>
    <w:rsid w:val="004E1BE6"/>
    <w:rsid w:val="004E2A83"/>
    <w:rsid w:val="004E393B"/>
    <w:rsid w:val="004E46D8"/>
    <w:rsid w:val="004F34CE"/>
    <w:rsid w:val="004F4E79"/>
    <w:rsid w:val="00501363"/>
    <w:rsid w:val="00503938"/>
    <w:rsid w:val="00506EA5"/>
    <w:rsid w:val="0051114C"/>
    <w:rsid w:val="005133B9"/>
    <w:rsid w:val="0051597A"/>
    <w:rsid w:val="00525445"/>
    <w:rsid w:val="00526E10"/>
    <w:rsid w:val="00544FAF"/>
    <w:rsid w:val="00545740"/>
    <w:rsid w:val="0054738D"/>
    <w:rsid w:val="00557861"/>
    <w:rsid w:val="005600E9"/>
    <w:rsid w:val="0056095F"/>
    <w:rsid w:val="0056686F"/>
    <w:rsid w:val="00573D8F"/>
    <w:rsid w:val="005750C5"/>
    <w:rsid w:val="005802CD"/>
    <w:rsid w:val="00580C04"/>
    <w:rsid w:val="00584EAC"/>
    <w:rsid w:val="00586962"/>
    <w:rsid w:val="00587397"/>
    <w:rsid w:val="00592CE1"/>
    <w:rsid w:val="00596804"/>
    <w:rsid w:val="005A499E"/>
    <w:rsid w:val="005A51E0"/>
    <w:rsid w:val="005B0D06"/>
    <w:rsid w:val="005B36A1"/>
    <w:rsid w:val="005B5E97"/>
    <w:rsid w:val="005B676D"/>
    <w:rsid w:val="005B7137"/>
    <w:rsid w:val="005C0916"/>
    <w:rsid w:val="005C1FE8"/>
    <w:rsid w:val="005C2466"/>
    <w:rsid w:val="005C43A9"/>
    <w:rsid w:val="005C4E11"/>
    <w:rsid w:val="005C5B39"/>
    <w:rsid w:val="005C6C05"/>
    <w:rsid w:val="005D615D"/>
    <w:rsid w:val="005E2A07"/>
    <w:rsid w:val="005E330D"/>
    <w:rsid w:val="005E366B"/>
    <w:rsid w:val="005E3F81"/>
    <w:rsid w:val="005E4212"/>
    <w:rsid w:val="005F166C"/>
    <w:rsid w:val="005F3FA8"/>
    <w:rsid w:val="00603072"/>
    <w:rsid w:val="00604059"/>
    <w:rsid w:val="00606293"/>
    <w:rsid w:val="00606EF5"/>
    <w:rsid w:val="006070FD"/>
    <w:rsid w:val="00607224"/>
    <w:rsid w:val="00607D45"/>
    <w:rsid w:val="00610AAD"/>
    <w:rsid w:val="00612BD0"/>
    <w:rsid w:val="0061442F"/>
    <w:rsid w:val="00616FF4"/>
    <w:rsid w:val="00617AA1"/>
    <w:rsid w:val="00617D9A"/>
    <w:rsid w:val="006220B4"/>
    <w:rsid w:val="0062585B"/>
    <w:rsid w:val="00632025"/>
    <w:rsid w:val="00634040"/>
    <w:rsid w:val="0063737D"/>
    <w:rsid w:val="0064055F"/>
    <w:rsid w:val="0064056C"/>
    <w:rsid w:val="006407D7"/>
    <w:rsid w:val="00640D53"/>
    <w:rsid w:val="006431B8"/>
    <w:rsid w:val="00644416"/>
    <w:rsid w:val="00644EEF"/>
    <w:rsid w:val="006469C1"/>
    <w:rsid w:val="00651307"/>
    <w:rsid w:val="00651DE8"/>
    <w:rsid w:val="00653888"/>
    <w:rsid w:val="00661FAD"/>
    <w:rsid w:val="00662D1E"/>
    <w:rsid w:val="0066409F"/>
    <w:rsid w:val="00672884"/>
    <w:rsid w:val="0067427F"/>
    <w:rsid w:val="00677685"/>
    <w:rsid w:val="0068110A"/>
    <w:rsid w:val="00683085"/>
    <w:rsid w:val="0068669E"/>
    <w:rsid w:val="00692D1F"/>
    <w:rsid w:val="00695861"/>
    <w:rsid w:val="006A1DC6"/>
    <w:rsid w:val="006A4474"/>
    <w:rsid w:val="006B7D36"/>
    <w:rsid w:val="006C34C3"/>
    <w:rsid w:val="006C3ECE"/>
    <w:rsid w:val="006C44FB"/>
    <w:rsid w:val="006D04DD"/>
    <w:rsid w:val="006D172B"/>
    <w:rsid w:val="006D6666"/>
    <w:rsid w:val="006E05E5"/>
    <w:rsid w:val="006E1D06"/>
    <w:rsid w:val="006E69CA"/>
    <w:rsid w:val="006E7064"/>
    <w:rsid w:val="006F05A0"/>
    <w:rsid w:val="006F1344"/>
    <w:rsid w:val="00700826"/>
    <w:rsid w:val="00702A32"/>
    <w:rsid w:val="007034AC"/>
    <w:rsid w:val="00704EBE"/>
    <w:rsid w:val="0070704F"/>
    <w:rsid w:val="00707565"/>
    <w:rsid w:val="00710901"/>
    <w:rsid w:val="00711008"/>
    <w:rsid w:val="00711113"/>
    <w:rsid w:val="00715385"/>
    <w:rsid w:val="00715AB1"/>
    <w:rsid w:val="007171B9"/>
    <w:rsid w:val="00721429"/>
    <w:rsid w:val="0073406B"/>
    <w:rsid w:val="007366E3"/>
    <w:rsid w:val="00742C3F"/>
    <w:rsid w:val="00746803"/>
    <w:rsid w:val="007520DA"/>
    <w:rsid w:val="00755274"/>
    <w:rsid w:val="00762678"/>
    <w:rsid w:val="00763A03"/>
    <w:rsid w:val="00763D80"/>
    <w:rsid w:val="00764158"/>
    <w:rsid w:val="00765838"/>
    <w:rsid w:val="007677E4"/>
    <w:rsid w:val="0077093A"/>
    <w:rsid w:val="00771F27"/>
    <w:rsid w:val="007727D8"/>
    <w:rsid w:val="00772E46"/>
    <w:rsid w:val="00776B3A"/>
    <w:rsid w:val="00777AF1"/>
    <w:rsid w:val="00782375"/>
    <w:rsid w:val="00783144"/>
    <w:rsid w:val="0078461D"/>
    <w:rsid w:val="00787D29"/>
    <w:rsid w:val="00792135"/>
    <w:rsid w:val="007A0345"/>
    <w:rsid w:val="007A28F0"/>
    <w:rsid w:val="007A390D"/>
    <w:rsid w:val="007A4C94"/>
    <w:rsid w:val="007B0C1A"/>
    <w:rsid w:val="007B3ED3"/>
    <w:rsid w:val="007B429F"/>
    <w:rsid w:val="007C4579"/>
    <w:rsid w:val="007D1CE0"/>
    <w:rsid w:val="007D3EB7"/>
    <w:rsid w:val="007D6DDE"/>
    <w:rsid w:val="007E14EF"/>
    <w:rsid w:val="007E2ED0"/>
    <w:rsid w:val="007E3EA3"/>
    <w:rsid w:val="007E4898"/>
    <w:rsid w:val="007E495F"/>
    <w:rsid w:val="007E5D03"/>
    <w:rsid w:val="007E7F9D"/>
    <w:rsid w:val="007F2C7F"/>
    <w:rsid w:val="007F477D"/>
    <w:rsid w:val="007F5B3C"/>
    <w:rsid w:val="007F79D4"/>
    <w:rsid w:val="00801477"/>
    <w:rsid w:val="00804DC8"/>
    <w:rsid w:val="00811684"/>
    <w:rsid w:val="00812286"/>
    <w:rsid w:val="0081451C"/>
    <w:rsid w:val="008157B4"/>
    <w:rsid w:val="00815C47"/>
    <w:rsid w:val="00815E84"/>
    <w:rsid w:val="00816DD1"/>
    <w:rsid w:val="00817769"/>
    <w:rsid w:val="00820C61"/>
    <w:rsid w:val="00821B98"/>
    <w:rsid w:val="00823135"/>
    <w:rsid w:val="008247B4"/>
    <w:rsid w:val="008266C5"/>
    <w:rsid w:val="008302BD"/>
    <w:rsid w:val="00832023"/>
    <w:rsid w:val="008400E2"/>
    <w:rsid w:val="00846AFC"/>
    <w:rsid w:val="0085095A"/>
    <w:rsid w:val="00851ACD"/>
    <w:rsid w:val="00855FD9"/>
    <w:rsid w:val="0085715E"/>
    <w:rsid w:val="008613DC"/>
    <w:rsid w:val="00871E4F"/>
    <w:rsid w:val="00872651"/>
    <w:rsid w:val="008735AE"/>
    <w:rsid w:val="00876749"/>
    <w:rsid w:val="00877F0C"/>
    <w:rsid w:val="008806F3"/>
    <w:rsid w:val="008813AC"/>
    <w:rsid w:val="008816F8"/>
    <w:rsid w:val="00883F2C"/>
    <w:rsid w:val="00895D4E"/>
    <w:rsid w:val="008961A5"/>
    <w:rsid w:val="008A0BC2"/>
    <w:rsid w:val="008A3C50"/>
    <w:rsid w:val="008A3D09"/>
    <w:rsid w:val="008B1349"/>
    <w:rsid w:val="008B3124"/>
    <w:rsid w:val="008B3550"/>
    <w:rsid w:val="008B38BF"/>
    <w:rsid w:val="008B64E6"/>
    <w:rsid w:val="008B69E5"/>
    <w:rsid w:val="008B760D"/>
    <w:rsid w:val="008C104C"/>
    <w:rsid w:val="008C18CE"/>
    <w:rsid w:val="008C253B"/>
    <w:rsid w:val="008C2632"/>
    <w:rsid w:val="008C6D6F"/>
    <w:rsid w:val="008D3524"/>
    <w:rsid w:val="008D6897"/>
    <w:rsid w:val="008E069F"/>
    <w:rsid w:val="008E6BA7"/>
    <w:rsid w:val="008E7DE5"/>
    <w:rsid w:val="008F2419"/>
    <w:rsid w:val="008F4D14"/>
    <w:rsid w:val="00903900"/>
    <w:rsid w:val="00906D82"/>
    <w:rsid w:val="00915B32"/>
    <w:rsid w:val="00917736"/>
    <w:rsid w:val="00920556"/>
    <w:rsid w:val="00922BA4"/>
    <w:rsid w:val="0092373B"/>
    <w:rsid w:val="00924761"/>
    <w:rsid w:val="00926281"/>
    <w:rsid w:val="00930AAF"/>
    <w:rsid w:val="0093220A"/>
    <w:rsid w:val="009374ED"/>
    <w:rsid w:val="009414A9"/>
    <w:rsid w:val="009434E1"/>
    <w:rsid w:val="00943828"/>
    <w:rsid w:val="00945F84"/>
    <w:rsid w:val="0095425E"/>
    <w:rsid w:val="009567F2"/>
    <w:rsid w:val="00957A21"/>
    <w:rsid w:val="00961903"/>
    <w:rsid w:val="00961A3D"/>
    <w:rsid w:val="00961A66"/>
    <w:rsid w:val="00961FD3"/>
    <w:rsid w:val="00963004"/>
    <w:rsid w:val="00974C0D"/>
    <w:rsid w:val="00983BD6"/>
    <w:rsid w:val="009905AF"/>
    <w:rsid w:val="009A2F79"/>
    <w:rsid w:val="009A4FBF"/>
    <w:rsid w:val="009A5838"/>
    <w:rsid w:val="009A6955"/>
    <w:rsid w:val="009B2D0B"/>
    <w:rsid w:val="009B76FB"/>
    <w:rsid w:val="009C0F5A"/>
    <w:rsid w:val="009C165F"/>
    <w:rsid w:val="009C1AEF"/>
    <w:rsid w:val="009C21E5"/>
    <w:rsid w:val="009D14CE"/>
    <w:rsid w:val="009E3409"/>
    <w:rsid w:val="009E46B4"/>
    <w:rsid w:val="009E4F74"/>
    <w:rsid w:val="009E7CCE"/>
    <w:rsid w:val="009F3E4C"/>
    <w:rsid w:val="00A02282"/>
    <w:rsid w:val="00A028E6"/>
    <w:rsid w:val="00A02992"/>
    <w:rsid w:val="00A03550"/>
    <w:rsid w:val="00A0517D"/>
    <w:rsid w:val="00A069DA"/>
    <w:rsid w:val="00A1248A"/>
    <w:rsid w:val="00A2459C"/>
    <w:rsid w:val="00A30F6E"/>
    <w:rsid w:val="00A33E3E"/>
    <w:rsid w:val="00A35096"/>
    <w:rsid w:val="00A35F0D"/>
    <w:rsid w:val="00A3697C"/>
    <w:rsid w:val="00A431FE"/>
    <w:rsid w:val="00A446C7"/>
    <w:rsid w:val="00A4512E"/>
    <w:rsid w:val="00A46362"/>
    <w:rsid w:val="00A46454"/>
    <w:rsid w:val="00A50914"/>
    <w:rsid w:val="00A539C5"/>
    <w:rsid w:val="00A567A7"/>
    <w:rsid w:val="00A6257B"/>
    <w:rsid w:val="00A641AE"/>
    <w:rsid w:val="00A65162"/>
    <w:rsid w:val="00A67B68"/>
    <w:rsid w:val="00A70787"/>
    <w:rsid w:val="00A75D0F"/>
    <w:rsid w:val="00A802B9"/>
    <w:rsid w:val="00A8385E"/>
    <w:rsid w:val="00A872C5"/>
    <w:rsid w:val="00A910E1"/>
    <w:rsid w:val="00A96461"/>
    <w:rsid w:val="00AA50B9"/>
    <w:rsid w:val="00AA556C"/>
    <w:rsid w:val="00AA5D36"/>
    <w:rsid w:val="00AB3462"/>
    <w:rsid w:val="00AB37D6"/>
    <w:rsid w:val="00AB5B6B"/>
    <w:rsid w:val="00AB5C42"/>
    <w:rsid w:val="00AC2375"/>
    <w:rsid w:val="00AD166A"/>
    <w:rsid w:val="00AD183E"/>
    <w:rsid w:val="00AD19BB"/>
    <w:rsid w:val="00AF0EA1"/>
    <w:rsid w:val="00AF2F53"/>
    <w:rsid w:val="00AF2F68"/>
    <w:rsid w:val="00AF3D3C"/>
    <w:rsid w:val="00AF5703"/>
    <w:rsid w:val="00B0252B"/>
    <w:rsid w:val="00B032CF"/>
    <w:rsid w:val="00B0405F"/>
    <w:rsid w:val="00B0408B"/>
    <w:rsid w:val="00B0493B"/>
    <w:rsid w:val="00B1449A"/>
    <w:rsid w:val="00B1626E"/>
    <w:rsid w:val="00B16C70"/>
    <w:rsid w:val="00B17D9B"/>
    <w:rsid w:val="00B27839"/>
    <w:rsid w:val="00B34A4F"/>
    <w:rsid w:val="00B35643"/>
    <w:rsid w:val="00B373A8"/>
    <w:rsid w:val="00B50B64"/>
    <w:rsid w:val="00B51789"/>
    <w:rsid w:val="00B526A7"/>
    <w:rsid w:val="00B5383B"/>
    <w:rsid w:val="00B53A33"/>
    <w:rsid w:val="00B576BD"/>
    <w:rsid w:val="00B66AA4"/>
    <w:rsid w:val="00B709AC"/>
    <w:rsid w:val="00B715F9"/>
    <w:rsid w:val="00B72225"/>
    <w:rsid w:val="00B76222"/>
    <w:rsid w:val="00B8061E"/>
    <w:rsid w:val="00B82BBA"/>
    <w:rsid w:val="00B83295"/>
    <w:rsid w:val="00B92942"/>
    <w:rsid w:val="00B953C0"/>
    <w:rsid w:val="00B961B1"/>
    <w:rsid w:val="00BA0D43"/>
    <w:rsid w:val="00BA2D85"/>
    <w:rsid w:val="00BA4813"/>
    <w:rsid w:val="00BA505D"/>
    <w:rsid w:val="00BA5633"/>
    <w:rsid w:val="00BC6183"/>
    <w:rsid w:val="00BC711D"/>
    <w:rsid w:val="00BC79B7"/>
    <w:rsid w:val="00BD0CC1"/>
    <w:rsid w:val="00BD1682"/>
    <w:rsid w:val="00BD4E9E"/>
    <w:rsid w:val="00BD79D4"/>
    <w:rsid w:val="00BE4121"/>
    <w:rsid w:val="00BE5271"/>
    <w:rsid w:val="00BE5561"/>
    <w:rsid w:val="00BE7E56"/>
    <w:rsid w:val="00BF35A6"/>
    <w:rsid w:val="00BF3ACE"/>
    <w:rsid w:val="00BF732E"/>
    <w:rsid w:val="00C01477"/>
    <w:rsid w:val="00C01967"/>
    <w:rsid w:val="00C01D03"/>
    <w:rsid w:val="00C02A73"/>
    <w:rsid w:val="00C15B39"/>
    <w:rsid w:val="00C2248A"/>
    <w:rsid w:val="00C23222"/>
    <w:rsid w:val="00C46564"/>
    <w:rsid w:val="00C53B86"/>
    <w:rsid w:val="00C557FB"/>
    <w:rsid w:val="00C569D3"/>
    <w:rsid w:val="00C61559"/>
    <w:rsid w:val="00C669B7"/>
    <w:rsid w:val="00C66E54"/>
    <w:rsid w:val="00C674A8"/>
    <w:rsid w:val="00C70D68"/>
    <w:rsid w:val="00C7212E"/>
    <w:rsid w:val="00C72AD6"/>
    <w:rsid w:val="00C72DB0"/>
    <w:rsid w:val="00C74B57"/>
    <w:rsid w:val="00C76BA6"/>
    <w:rsid w:val="00C81D3B"/>
    <w:rsid w:val="00C831FE"/>
    <w:rsid w:val="00C8595B"/>
    <w:rsid w:val="00C9026A"/>
    <w:rsid w:val="00C90B8F"/>
    <w:rsid w:val="00C935E0"/>
    <w:rsid w:val="00C97FC5"/>
    <w:rsid w:val="00CA1E58"/>
    <w:rsid w:val="00CA2B8E"/>
    <w:rsid w:val="00CA3473"/>
    <w:rsid w:val="00CB39A0"/>
    <w:rsid w:val="00CC0EA3"/>
    <w:rsid w:val="00CC34F4"/>
    <w:rsid w:val="00CC369B"/>
    <w:rsid w:val="00CD1072"/>
    <w:rsid w:val="00CD297E"/>
    <w:rsid w:val="00CD543F"/>
    <w:rsid w:val="00CD610F"/>
    <w:rsid w:val="00CE0345"/>
    <w:rsid w:val="00CE1103"/>
    <w:rsid w:val="00CE1C0C"/>
    <w:rsid w:val="00CE3F42"/>
    <w:rsid w:val="00CF04C8"/>
    <w:rsid w:val="00CF2105"/>
    <w:rsid w:val="00CF2AF0"/>
    <w:rsid w:val="00CF446E"/>
    <w:rsid w:val="00CF5960"/>
    <w:rsid w:val="00CF6A6F"/>
    <w:rsid w:val="00D00092"/>
    <w:rsid w:val="00D029D4"/>
    <w:rsid w:val="00D02B36"/>
    <w:rsid w:val="00D04C0E"/>
    <w:rsid w:val="00D100C2"/>
    <w:rsid w:val="00D1065E"/>
    <w:rsid w:val="00D10FFC"/>
    <w:rsid w:val="00D22706"/>
    <w:rsid w:val="00D33F2D"/>
    <w:rsid w:val="00D349E4"/>
    <w:rsid w:val="00D360ED"/>
    <w:rsid w:val="00D42AF1"/>
    <w:rsid w:val="00D46E49"/>
    <w:rsid w:val="00D46F78"/>
    <w:rsid w:val="00D52108"/>
    <w:rsid w:val="00D60C37"/>
    <w:rsid w:val="00D60CF9"/>
    <w:rsid w:val="00D64DC3"/>
    <w:rsid w:val="00D66D7F"/>
    <w:rsid w:val="00D67B39"/>
    <w:rsid w:val="00D75987"/>
    <w:rsid w:val="00D76F5E"/>
    <w:rsid w:val="00D80851"/>
    <w:rsid w:val="00D91535"/>
    <w:rsid w:val="00D92350"/>
    <w:rsid w:val="00D93FB2"/>
    <w:rsid w:val="00DA6058"/>
    <w:rsid w:val="00DA658B"/>
    <w:rsid w:val="00DB2C36"/>
    <w:rsid w:val="00DC02DC"/>
    <w:rsid w:val="00DC1B1F"/>
    <w:rsid w:val="00DC530E"/>
    <w:rsid w:val="00DD1796"/>
    <w:rsid w:val="00DD189B"/>
    <w:rsid w:val="00DD4A47"/>
    <w:rsid w:val="00DD4FE6"/>
    <w:rsid w:val="00DE227F"/>
    <w:rsid w:val="00DE2456"/>
    <w:rsid w:val="00DE327A"/>
    <w:rsid w:val="00DE7B9E"/>
    <w:rsid w:val="00DF1D37"/>
    <w:rsid w:val="00DF7B5F"/>
    <w:rsid w:val="00DF7F9A"/>
    <w:rsid w:val="00E02304"/>
    <w:rsid w:val="00E037B9"/>
    <w:rsid w:val="00E06B6E"/>
    <w:rsid w:val="00E06D78"/>
    <w:rsid w:val="00E13B79"/>
    <w:rsid w:val="00E155CE"/>
    <w:rsid w:val="00E16CBF"/>
    <w:rsid w:val="00E17B63"/>
    <w:rsid w:val="00E214BD"/>
    <w:rsid w:val="00E218F3"/>
    <w:rsid w:val="00E21A74"/>
    <w:rsid w:val="00E2222C"/>
    <w:rsid w:val="00E2404A"/>
    <w:rsid w:val="00E32725"/>
    <w:rsid w:val="00E353DE"/>
    <w:rsid w:val="00E36956"/>
    <w:rsid w:val="00E45462"/>
    <w:rsid w:val="00E5180A"/>
    <w:rsid w:val="00E60BE2"/>
    <w:rsid w:val="00E61475"/>
    <w:rsid w:val="00E6561B"/>
    <w:rsid w:val="00E661E4"/>
    <w:rsid w:val="00E664FA"/>
    <w:rsid w:val="00E76EF8"/>
    <w:rsid w:val="00E8103A"/>
    <w:rsid w:val="00E81B1D"/>
    <w:rsid w:val="00E827C8"/>
    <w:rsid w:val="00E82F43"/>
    <w:rsid w:val="00E84B49"/>
    <w:rsid w:val="00E9504F"/>
    <w:rsid w:val="00E960F5"/>
    <w:rsid w:val="00E9693B"/>
    <w:rsid w:val="00E97CDE"/>
    <w:rsid w:val="00EA2E6C"/>
    <w:rsid w:val="00EA50A8"/>
    <w:rsid w:val="00EA6B96"/>
    <w:rsid w:val="00EA6D41"/>
    <w:rsid w:val="00EB17BC"/>
    <w:rsid w:val="00EB322F"/>
    <w:rsid w:val="00EC16A0"/>
    <w:rsid w:val="00ED0497"/>
    <w:rsid w:val="00ED5966"/>
    <w:rsid w:val="00ED6284"/>
    <w:rsid w:val="00EE0C53"/>
    <w:rsid w:val="00EE24DE"/>
    <w:rsid w:val="00EE2BAB"/>
    <w:rsid w:val="00EE5A41"/>
    <w:rsid w:val="00EF7A7E"/>
    <w:rsid w:val="00F01181"/>
    <w:rsid w:val="00F032B6"/>
    <w:rsid w:val="00F06A36"/>
    <w:rsid w:val="00F115EA"/>
    <w:rsid w:val="00F1179E"/>
    <w:rsid w:val="00F117F9"/>
    <w:rsid w:val="00F12D03"/>
    <w:rsid w:val="00F23D0B"/>
    <w:rsid w:val="00F26907"/>
    <w:rsid w:val="00F26EC8"/>
    <w:rsid w:val="00F33FBF"/>
    <w:rsid w:val="00F35103"/>
    <w:rsid w:val="00F353CF"/>
    <w:rsid w:val="00F40BD5"/>
    <w:rsid w:val="00F41780"/>
    <w:rsid w:val="00F4286A"/>
    <w:rsid w:val="00F44BF6"/>
    <w:rsid w:val="00F44E7D"/>
    <w:rsid w:val="00F468F1"/>
    <w:rsid w:val="00F56B15"/>
    <w:rsid w:val="00F618BE"/>
    <w:rsid w:val="00F63037"/>
    <w:rsid w:val="00F677DC"/>
    <w:rsid w:val="00F709D0"/>
    <w:rsid w:val="00F75004"/>
    <w:rsid w:val="00F76584"/>
    <w:rsid w:val="00F76C81"/>
    <w:rsid w:val="00F775E4"/>
    <w:rsid w:val="00F80AC4"/>
    <w:rsid w:val="00F85A7C"/>
    <w:rsid w:val="00F87F97"/>
    <w:rsid w:val="00F90EA4"/>
    <w:rsid w:val="00F92337"/>
    <w:rsid w:val="00F9646C"/>
    <w:rsid w:val="00F96820"/>
    <w:rsid w:val="00FA31BC"/>
    <w:rsid w:val="00FA6A8B"/>
    <w:rsid w:val="00FA7B85"/>
    <w:rsid w:val="00FB19D1"/>
    <w:rsid w:val="00FB5434"/>
    <w:rsid w:val="00FC5C9C"/>
    <w:rsid w:val="00FD114D"/>
    <w:rsid w:val="00FD193A"/>
    <w:rsid w:val="00FD43DF"/>
    <w:rsid w:val="00FD48B9"/>
    <w:rsid w:val="00FD7098"/>
    <w:rsid w:val="00FE0854"/>
    <w:rsid w:val="00FE0CB2"/>
    <w:rsid w:val="00FE1A06"/>
    <w:rsid w:val="00FE2654"/>
    <w:rsid w:val="00FE27D2"/>
    <w:rsid w:val="00FE2DC7"/>
    <w:rsid w:val="00FF0F1F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6D71BC23-68D8-4B4B-9580-DF92625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6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dis.europa.eu/article/id/441912-robots-help-farmers-say-goodbye-to-repetitive-tasks/pl" TargetMode="External"/><Relationship Id="rId21" Type="http://schemas.openxmlformats.org/officeDocument/2006/relationships/hyperlink" Target="https://publications.jrc.ec.europa.eu/repository/handle/JRC127965" TargetMode="External"/><Relationship Id="rId42" Type="http://schemas.openxmlformats.org/officeDocument/2006/relationships/hyperlink" Target="https://enrd.ec.europa.eu/news-events/news/latest-cap-developments-cz-pres-priorities_en" TargetMode="External"/><Relationship Id="rId47" Type="http://schemas.openxmlformats.org/officeDocument/2006/relationships/hyperlink" Target="https://enrd.ec.europa.eu/news-events/news/eu-code-conduct-responsible-food-business-and-marketing-practices-latest-figures_en" TargetMode="External"/><Relationship Id="rId63" Type="http://schemas.openxmlformats.org/officeDocument/2006/relationships/hyperlink" Target="https://www.copa-cogeca.eu/press-releases" TargetMode="External"/><Relationship Id="rId68" Type="http://schemas.openxmlformats.org/officeDocument/2006/relationships/hyperlink" Target="https://eur-lex.europa.eu/legal-content/PL/TXT/PDF/?uri=CELEX:32022R1196&amp;qid=1660730180851&amp;from=EN" TargetMode="External"/><Relationship Id="rId84" Type="http://schemas.openxmlformats.org/officeDocument/2006/relationships/hyperlink" Target="https://eur-lex.europa.eu/legal-content/PL/TXT/PDF/?uri=CELEX:32022R1375&amp;qid=1660730180851&amp;from=EN" TargetMode="External"/><Relationship Id="rId89" Type="http://schemas.openxmlformats.org/officeDocument/2006/relationships/hyperlink" Target="https://eur-lex.europa.eu/legal-content/PL/TXT/PDF/?uri=CELEX:32022R1405&amp;qid=1660730180851&amp;from=EN" TargetMode="External"/><Relationship Id="rId16" Type="http://schemas.openxmlformats.org/officeDocument/2006/relationships/hyperlink" Target="https://ec.europa.eu/commission/presscorner/detail/pl/ip_22_4667" TargetMode="External"/><Relationship Id="rId11" Type="http://schemas.openxmlformats.org/officeDocument/2006/relationships/hyperlink" Target="https://agriculture.ec.europa.eu/news/commission-sets-clear-and-common-rules-monitoring-and-evaluating-implementation-cap-strategic-plans-2022-09-12_en" TargetMode="External"/><Relationship Id="rId32" Type="http://schemas.openxmlformats.org/officeDocument/2006/relationships/hyperlink" Target="https://www.europarl.europa.eu/news/pl/press-room/20220711IPR35006/meps-back-boost-for-renewables-use-and-energy-savings" TargetMode="External"/><Relationship Id="rId37" Type="http://schemas.openxmlformats.org/officeDocument/2006/relationships/hyperlink" Target="https://www.europarl.europa.eu/thinktank/en/document/EPRS_BRI(2022)730353" TargetMode="External"/><Relationship Id="rId53" Type="http://schemas.openxmlformats.org/officeDocument/2006/relationships/hyperlink" Target="https://enrd.ec.europa.eu/news-events/news/landscape-features-and-biodiversity-thematic-group_en" TargetMode="External"/><Relationship Id="rId58" Type="http://schemas.openxmlformats.org/officeDocument/2006/relationships/hyperlink" Target="https://www.copa-cogeca.eu/press-releases" TargetMode="External"/><Relationship Id="rId74" Type="http://schemas.openxmlformats.org/officeDocument/2006/relationships/hyperlink" Target="https://eur-lex.europa.eu/legal-content/PL/TXT/PDF/?uri=CELEX:32022R1248&amp;from=EN" TargetMode="External"/><Relationship Id="rId79" Type="http://schemas.openxmlformats.org/officeDocument/2006/relationships/hyperlink" Target="https://eur-lex.europa.eu/legal-content/PL/TXT/PDF/?uri=CELEX:32022R1346&amp;qid=1660730180851&amp;from=EN" TargetMode="External"/><Relationship Id="rId102" Type="http://schemas.openxmlformats.org/officeDocument/2006/relationships/hyperlink" Target="http://www.eastpoland.e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ur-lex.europa.eu/legal-content/PL/TXT/PDF/?uri=CELEX:32022R1469&amp;qid=1662633342704&amp;from=EN" TargetMode="External"/><Relationship Id="rId95" Type="http://schemas.openxmlformats.org/officeDocument/2006/relationships/hyperlink" Target="https://eur-lex.europa.eu/legal-content/PL/TXT/PDF/?uri=CELEX:32022D1487&amp;qid=1662633342704&amp;from=EN" TargetMode="External"/><Relationship Id="rId22" Type="http://schemas.openxmlformats.org/officeDocument/2006/relationships/hyperlink" Target="https://joint-research-centre.ec.europa.eu/jrc-news/evidence-food-information-empowering-consumers-make-healthy-and-sustainable-choices-2022-09-09_en" TargetMode="External"/><Relationship Id="rId27" Type="http://schemas.openxmlformats.org/officeDocument/2006/relationships/hyperlink" Target="https://cordis.europa.eu/article/id/442076-how-will-climate-change-affect-the-yield-and-price-of-wheat/pl" TargetMode="External"/><Relationship Id="rId43" Type="http://schemas.openxmlformats.org/officeDocument/2006/relationships/hyperlink" Target="https://enrd.ec.europa.eu/news-events/news/auditors-question-outcome-eus-community-led-local-development-approach_en" TargetMode="External"/><Relationship Id="rId48" Type="http://schemas.openxmlformats.org/officeDocument/2006/relationships/hyperlink" Target="https://enrd.ec.europa.eu/news-events/news/rural-entrepreneurs-erasmus-project-survey_en" TargetMode="External"/><Relationship Id="rId64" Type="http://schemas.openxmlformats.org/officeDocument/2006/relationships/hyperlink" Target="https://eur-lex.europa.eu/legal-content/PL/TXT/PDF/?uri=CELEX:32021R2115R(02)&amp;qid=1660730180851&amp;from=EN" TargetMode="External"/><Relationship Id="rId69" Type="http://schemas.openxmlformats.org/officeDocument/2006/relationships/hyperlink" Target="https://eur-lex.europa.eu/legal-content/PL/TXT/PDF/?uri=CELEX:32022R1186&amp;qid=1660730180851&amp;from=EN" TargetMode="External"/><Relationship Id="rId80" Type="http://schemas.openxmlformats.org/officeDocument/2006/relationships/hyperlink" Target="https://eur-lex.europa.eu/legal-content/PL/TXT/PDF/?uri=CELEX:32022R1352&amp;qid=1660730180851&amp;from=EN" TargetMode="External"/><Relationship Id="rId85" Type="http://schemas.openxmlformats.org/officeDocument/2006/relationships/hyperlink" Target="https://eur-lex.europa.eu/legal-content/PL/TXT/PDF/?uri=CELEX:32022R1371&amp;qid=1660730180851&amp;from=EN" TargetMode="External"/><Relationship Id="rId12" Type="http://schemas.openxmlformats.org/officeDocument/2006/relationships/hyperlink" Target="https://eur-lex.europa.eu/legal-content/PL/TXT/PDF/?uri=CELEX:32022R1475&amp;from=EN" TargetMode="External"/><Relationship Id="rId17" Type="http://schemas.openxmlformats.org/officeDocument/2006/relationships/hyperlink" Target="https://agriculture.ec.europa.eu/news/notable-developments-eu-agri-food-trade-amid-global-uncertainties-2022-07-28_en" TargetMode="External"/><Relationship Id="rId33" Type="http://schemas.openxmlformats.org/officeDocument/2006/relationships/hyperlink" Target="https://www.europarl.europa.eu/thinktank/en/document/EPRS_BRI(2021)698028" TargetMode="External"/><Relationship Id="rId38" Type="http://schemas.openxmlformats.org/officeDocument/2006/relationships/hyperlink" Target="https://www.europarl.europa.eu/thinktank/en/document/EPRS_STU(2022)730339" TargetMode="External"/><Relationship Id="rId59" Type="http://schemas.openxmlformats.org/officeDocument/2006/relationships/hyperlink" Target="https://www.copa-cogeca.eu/press-releases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joint-research-centre.ec.europa.eu/jrc-news/5-digital-solutions-greener-europe-2022-07-05_en" TargetMode="External"/><Relationship Id="rId41" Type="http://schemas.openxmlformats.org/officeDocument/2006/relationships/hyperlink" Target="https://cor.europa.eu/pl/news/Pages/Green-Deal-Handbook-on-Adaptation.aspx" TargetMode="External"/><Relationship Id="rId54" Type="http://schemas.openxmlformats.org/officeDocument/2006/relationships/hyperlink" Target="https://enrd.ec.europa.eu/news-events/news/new-enrd-thematic-group-strengthening-position-farmers-organic-food-supply-chain_en" TargetMode="External"/><Relationship Id="rId62" Type="http://schemas.openxmlformats.org/officeDocument/2006/relationships/hyperlink" Target="https://www.copa-cogeca.eu/press-releases" TargetMode="External"/><Relationship Id="rId70" Type="http://schemas.openxmlformats.org/officeDocument/2006/relationships/hyperlink" Target="https://eur-lex.europa.eu/legal-content/PL/TXT/PDF/?uri=CELEX:32022R1203&amp;qid=1660730180851&amp;from=EN" TargetMode="External"/><Relationship Id="rId75" Type="http://schemas.openxmlformats.org/officeDocument/2006/relationships/hyperlink" Target="https://eur-lex.europa.eu/legal-content/PL/TXT/PDF/?uri=CELEX:32022R1323&amp;qid=1660730180851&amp;from=EN" TargetMode="External"/><Relationship Id="rId83" Type="http://schemas.openxmlformats.org/officeDocument/2006/relationships/hyperlink" Target="https://eur-lex.europa.eu/legal-content/PL/TXT/PDF/?uri=CELEX:32022R1373&amp;qid=1660730180851&amp;from=EN" TargetMode="External"/><Relationship Id="rId88" Type="http://schemas.openxmlformats.org/officeDocument/2006/relationships/hyperlink" Target="https://eur-lex.europa.eu/legal-content/PL/TXT/PDF/?uri=CELEX:32022R1396&amp;qid=1660730180851&amp;from=EN" TargetMode="External"/><Relationship Id="rId91" Type="http://schemas.openxmlformats.org/officeDocument/2006/relationships/hyperlink" Target="https://eur-lex.europa.eu/legal-content/PL/TXT/PDF/?uri=CELEX:32022R1458&amp;qid=1662633342704&amp;from=EN" TargetMode="External"/><Relationship Id="rId96" Type="http://schemas.openxmlformats.org/officeDocument/2006/relationships/hyperlink" Target="https://eur-lex.europa.eu/legal-content/PL/TXT/PDF/?uri=CELEX:32022D1486&amp;qid=1662633342704&amp;from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.europa.eu/commission/presscorner/detail/en/ip_22_4745" TargetMode="External"/><Relationship Id="rId23" Type="http://schemas.openxmlformats.org/officeDocument/2006/relationships/hyperlink" Target="https://agridata.ec.europa.eu/extensions/DataPortal/agricultural_markets.html" TargetMode="External"/><Relationship Id="rId28" Type="http://schemas.openxmlformats.org/officeDocument/2006/relationships/hyperlink" Target="https://cordis.europa.eu/article/id/442093-breakthrough-technologies-secure-future-of-second-generation-biofuels/pl" TargetMode="External"/><Relationship Id="rId36" Type="http://schemas.openxmlformats.org/officeDocument/2006/relationships/hyperlink" Target="https://www.europarl.europa.eu/thinktank/en/document/EPRS_BRI(2022)733598" TargetMode="External"/><Relationship Id="rId49" Type="http://schemas.openxmlformats.org/officeDocument/2006/relationships/hyperlink" Target="https://enrd.ec.europa.eu/news-events/news/eu-organic-policy-supports-agro-ecologys-expansion_en" TargetMode="External"/><Relationship Id="rId57" Type="http://schemas.openxmlformats.org/officeDocument/2006/relationships/hyperlink" Target="https://enrd.ec.europa.eu/news-events/events/22nd-nrn-meeting-networking-back-together-taking-stock-success-and-looking_en" TargetMode="External"/><Relationship Id="rId10" Type="http://schemas.openxmlformats.org/officeDocument/2006/relationships/hyperlink" Target="https://ec.europa.eu/environment/agriculture/index.htm" TargetMode="External"/><Relationship Id="rId31" Type="http://schemas.openxmlformats.org/officeDocument/2006/relationships/hyperlink" Target="https://www.europarl.europa.eu/news/en/press-room/20220711IPR35026/agriculture-committee-endorses-deal-on-agricultural-input-and-output-statistics" TargetMode="External"/><Relationship Id="rId44" Type="http://schemas.openxmlformats.org/officeDocument/2006/relationships/hyperlink" Target="https://enrd.ec.europa.eu/news-events/news/fraud-risks-cap-payments_en" TargetMode="External"/><Relationship Id="rId52" Type="http://schemas.openxmlformats.org/officeDocument/2006/relationships/hyperlink" Target="https://enrd.ec.europa.eu/news-events/news/enrd-thematic-group-round_en" TargetMode="External"/><Relationship Id="rId60" Type="http://schemas.openxmlformats.org/officeDocument/2006/relationships/hyperlink" Target="https://www.copa-cogeca.eu/press-releases" TargetMode="External"/><Relationship Id="rId65" Type="http://schemas.openxmlformats.org/officeDocument/2006/relationships/hyperlink" Target="https://eur-lex.europa.eu/legal-content/PL/TXT/PDF/?uri=CELEX:32022R0892R(01)&amp;qid=1660730180851&amp;from=EN" TargetMode="External"/><Relationship Id="rId73" Type="http://schemas.openxmlformats.org/officeDocument/2006/relationships/hyperlink" Target="https://eur-lex.europa.eu/legal-content/PL/TXT/PDF/?uri=CELEX:32022R1249&amp;from=EN" TargetMode="External"/><Relationship Id="rId78" Type="http://schemas.openxmlformats.org/officeDocument/2006/relationships/hyperlink" Target="https://eur-lex.europa.eu/legal-content/PL/TXT/PDF/?uri=CELEX:32022R1345&amp;qid=1660730180851&amp;from=EN" TargetMode="External"/><Relationship Id="rId81" Type="http://schemas.openxmlformats.org/officeDocument/2006/relationships/hyperlink" Target="https://eur-lex.europa.eu/legal-content/PL/TXT/PDF/?uri=CELEX:32022R1364&amp;qid=1660730180851&amp;from=EN" TargetMode="External"/><Relationship Id="rId86" Type="http://schemas.openxmlformats.org/officeDocument/2006/relationships/hyperlink" Target="https://eur-lex.europa.eu/legal-content/PL/TXT/PDF/?uri=CELEX:32022R1382&amp;qid=1660730180851&amp;from=EN" TargetMode="External"/><Relationship Id="rId94" Type="http://schemas.openxmlformats.org/officeDocument/2006/relationships/hyperlink" Target="https://eur-lex.europa.eu/legal-content/PL/TXT/PDF/?uri=CELEX:32022D1488&amp;qid=1662633342704&amp;from=EN" TargetMode="External"/><Relationship Id="rId99" Type="http://schemas.openxmlformats.org/officeDocument/2006/relationships/hyperlink" Target="https://eur-lex.europa.eu/legal-content/PL/TXT/PDF/?uri=CELEX:52022XC0805(01)&amp;qid=1660730180851&amp;from=EN" TargetMode="External"/><Relationship Id="rId101" Type="http://schemas.openxmlformats.org/officeDocument/2006/relationships/hyperlink" Target="mailto:info@eastpolan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pl/MEMO_13_631" TargetMode="External"/><Relationship Id="rId13" Type="http://schemas.openxmlformats.org/officeDocument/2006/relationships/hyperlink" Target="https://ec.europa.eu/commission/presscorner/detail/en/IP_22_4668" TargetMode="External"/><Relationship Id="rId18" Type="http://schemas.openxmlformats.org/officeDocument/2006/relationships/hyperlink" Target="https://agriculture.ec.europa.eu/news/european-commission-publishes-its-latest-short-term-outlook-eu-agricultural-markets-amidst-global-2022-07-07_en" TargetMode="External"/><Relationship Id="rId39" Type="http://schemas.openxmlformats.org/officeDocument/2006/relationships/hyperlink" Target="https://www.europarl.europa.eu/thinktank/en/document/IPOL_ATA(2022)699634" TargetMode="External"/><Relationship Id="rId34" Type="http://schemas.openxmlformats.org/officeDocument/2006/relationships/hyperlink" Target="https://www.europarl.europa.eu/thinktank/en/document/EPRS_BRI(2022)698889" TargetMode="External"/><Relationship Id="rId50" Type="http://schemas.openxmlformats.org/officeDocument/2006/relationships/hyperlink" Target="https://enrd.ec.europa.eu/news-events/news/eafrd-projects-brochure-rural-youth-leaders-change-available-6-languages_en" TargetMode="External"/><Relationship Id="rId55" Type="http://schemas.openxmlformats.org/officeDocument/2006/relationships/hyperlink" Target="https://enrd.ec.europa.eu/publications/2nd-meeting-thematic-group-rural-proofing-highlights-report_en" TargetMode="External"/><Relationship Id="rId76" Type="http://schemas.openxmlformats.org/officeDocument/2006/relationships/hyperlink" Target="https://eur-lex.europa.eu/legal-content/PL/TXT/PDF/?uri=CELEX:32022R1322&amp;qid=1660730180851&amp;from=EN" TargetMode="External"/><Relationship Id="rId97" Type="http://schemas.openxmlformats.org/officeDocument/2006/relationships/hyperlink" Target="https://eur-lex.europa.eu/legal-content/PL/TXT/PDF/?uri=CELEX:32022D1485&amp;qid=1662633342704&amp;from=EN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ur-lex.europa.eu/legal-content/PL/TXT/PDF/?uri=CELEX:32022R1232&amp;qid=1660730180851&amp;from=EN" TargetMode="External"/><Relationship Id="rId92" Type="http://schemas.openxmlformats.org/officeDocument/2006/relationships/hyperlink" Target="https://eur-lex.europa.eu/legal-content/PL/TXT/PDF/?uri=CELEX:32022D1187&amp;qid=1660730180851&amp;from=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rdis.europa.eu/article/id/442075-a-circular-economy-approach-for-waste-water-treatment" TargetMode="External"/><Relationship Id="rId24" Type="http://schemas.openxmlformats.org/officeDocument/2006/relationships/hyperlink" Target="https://cordis.europa.eu/article/id/436685-why-environmentally-harmful-farming-practices-are-changing-so-slowly/pl" TargetMode="External"/><Relationship Id="rId40" Type="http://schemas.openxmlformats.org/officeDocument/2006/relationships/hyperlink" Target="https://www.europarl.europa.eu/news/pl/press-room/20220711IPR35009/climate-change-new-rules-for-companies-to-stop-eu-driven-deforestation-globally" TargetMode="External"/><Relationship Id="rId45" Type="http://schemas.openxmlformats.org/officeDocument/2006/relationships/hyperlink" Target="https://enrd.ec.europa.eu/news-events/news/new-cap-data-collection-systems-environmental-and-social-results_en" TargetMode="External"/><Relationship Id="rId66" Type="http://schemas.openxmlformats.org/officeDocument/2006/relationships/hyperlink" Target="https://eur-lex.europa.eu/legal-content/PL/TXT/PDF/?uri=CELEX:32022R1160&amp;qid=1660730180851&amp;from=EN" TargetMode="External"/><Relationship Id="rId87" Type="http://schemas.openxmlformats.org/officeDocument/2006/relationships/hyperlink" Target="https://eur-lex.europa.eu/legal-content/PL/TXT/PDF/?uri=CELEX:32022R1381&amp;qid=1660730180851&amp;from=EN" TargetMode="External"/><Relationship Id="rId61" Type="http://schemas.openxmlformats.org/officeDocument/2006/relationships/hyperlink" Target="https://www.copa-cogeca.eu/press-releases" TargetMode="External"/><Relationship Id="rId82" Type="http://schemas.openxmlformats.org/officeDocument/2006/relationships/hyperlink" Target="https://eur-lex.europa.eu/legal-content/PL/TXT/PDF/?uri=CELEX:32022R1365&amp;qid=1660730180851&amp;from=EN" TargetMode="External"/><Relationship Id="rId19" Type="http://schemas.openxmlformats.org/officeDocument/2006/relationships/hyperlink" Target="https://ec.europa.eu/commission/presscorner/detail/en/ip_22_5352" TargetMode="External"/><Relationship Id="rId14" Type="http://schemas.openxmlformats.org/officeDocument/2006/relationships/hyperlink" Target="https://ec.europa.eu/commission/presscorner/detail/en/ip_22_4944" TargetMode="External"/><Relationship Id="rId30" Type="http://schemas.openxmlformats.org/officeDocument/2006/relationships/hyperlink" Target="https://www.europarl.europa.eu/news/en/press-room/20220711IPR35027/a-new-eu-forest-strategy-for-2030-report-adopted-by-the-agriculture-committee" TargetMode="External"/><Relationship Id="rId35" Type="http://schemas.openxmlformats.org/officeDocument/2006/relationships/hyperlink" Target="https://www.europarl.europa.eu/thinktank/en/document/EPRS_BRI(2021)698843" TargetMode="External"/><Relationship Id="rId56" Type="http://schemas.openxmlformats.org/officeDocument/2006/relationships/hyperlink" Target="https://enrd.ec.europa.eu/publications/2nd-meeting-thematic-group-making-seven-leader-principles-work-practice-all-lags-under_en" TargetMode="External"/><Relationship Id="rId77" Type="http://schemas.openxmlformats.org/officeDocument/2006/relationships/hyperlink" Target="https://eur-lex.europa.eu/legal-content/PL/TXT/PDF/?uri=CELEX:32022R1391&amp;qid=1660730180851&amp;from=EN" TargetMode="External"/><Relationship Id="rId100" Type="http://schemas.openxmlformats.org/officeDocument/2006/relationships/hyperlink" Target="https://eur-lex.europa.eu/legal-content/PL/TXT/PDF/?uri=CELEX:52022SA0010(01)&amp;qid=1660730180851&amp;from=EN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nrd.ec.europa.eu/news-events/news/rural-connections-2022-available-6-languages_en" TargetMode="External"/><Relationship Id="rId72" Type="http://schemas.openxmlformats.org/officeDocument/2006/relationships/hyperlink" Target="https://eur-lex.europa.eu/legal-content/PL/TXT/PDF/?uri=CELEX:32022R1247&amp;qid=1660730180851&amp;from=EN" TargetMode="External"/><Relationship Id="rId93" Type="http://schemas.openxmlformats.org/officeDocument/2006/relationships/hyperlink" Target="https://eur-lex.europa.eu/legal-content/PL/TXT/PDF/?uri=CELEX:32022D1368&amp;qid=1660730180851&amp;from=EN" TargetMode="External"/><Relationship Id="rId98" Type="http://schemas.openxmlformats.org/officeDocument/2006/relationships/hyperlink" Target="https://eur-lex.europa.eu/legal-content/PL/TXT/PDF/?uri=CELEX:32022D1483&amp;qid=1662633342704&amp;from=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rdis.europa.eu/article/id/436289-europe-s-fragmented-biodiversity-data-landscape-under-the-microscope/pl" TargetMode="External"/><Relationship Id="rId46" Type="http://schemas.openxmlformats.org/officeDocument/2006/relationships/hyperlink" Target="https://enrd.ec.europa.eu/news-events/news/cooperation-fosters-food-chain-resilience_en" TargetMode="External"/><Relationship Id="rId67" Type="http://schemas.openxmlformats.org/officeDocument/2006/relationships/hyperlink" Target="https://eur-lex.europa.eu/legal-content/PL/TXT/PDF/?uri=CELEX:32022R1185&amp;qid=1660730180851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D11E-3566-43A2-A8A7-9941C0F8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24900</TotalTime>
  <Pages>16</Pages>
  <Words>6744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653</cp:revision>
  <dcterms:created xsi:type="dcterms:W3CDTF">2022-02-24T09:13:00Z</dcterms:created>
  <dcterms:modified xsi:type="dcterms:W3CDTF">2022-09-23T11:53:00Z</dcterms:modified>
</cp:coreProperties>
</file>